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A9C9" w14:textId="66BEB7FC" w:rsidR="00F459CF" w:rsidRPr="00222A33" w:rsidRDefault="00F459CF" w:rsidP="00222A33">
      <w:pPr>
        <w:spacing w:after="1000" w:line="400" w:lineRule="exact"/>
        <w:jc w:val="center"/>
        <w:rPr>
          <w:rFonts w:ascii="Times New Roman" w:eastAsia="宋体" w:hAnsi="Times New Roman" w:cs="Times New Roman"/>
          <w:sz w:val="24"/>
          <w:szCs w:val="24"/>
          <w14:ligatures w14:val="none"/>
        </w:rPr>
      </w:pPr>
      <w:r w:rsidRPr="00222A33">
        <w:rPr>
          <w:rFonts w:ascii="Times New Roman" w:eastAsia="宋体" w:hAnsi="Times New Roman" w:cs="Times New Roman"/>
          <w:sz w:val="24"/>
          <w:szCs w:val="24"/>
          <w14:ligatures w14:val="none"/>
        </w:rPr>
        <w:t>证券代码：</w:t>
      </w:r>
      <w:r w:rsidRPr="00222A33">
        <w:rPr>
          <w:rFonts w:ascii="Times New Roman" w:eastAsia="宋体" w:hAnsi="Times New Roman" w:cs="Times New Roman"/>
          <w:sz w:val="24"/>
          <w:szCs w:val="24"/>
          <w14:ligatures w14:val="none"/>
        </w:rPr>
        <w:t xml:space="preserve">000605      </w:t>
      </w:r>
      <w:r w:rsidR="00222A33">
        <w:rPr>
          <w:rFonts w:ascii="Times New Roman" w:eastAsia="宋体" w:hAnsi="Times New Roman" w:cs="Times New Roman"/>
          <w:sz w:val="24"/>
          <w:szCs w:val="24"/>
          <w14:ligatures w14:val="none"/>
        </w:rPr>
        <w:t xml:space="preserve">                </w:t>
      </w:r>
      <w:r w:rsidRPr="00222A33">
        <w:rPr>
          <w:rFonts w:ascii="Times New Roman" w:eastAsia="宋体" w:hAnsi="Times New Roman" w:cs="Times New Roman"/>
          <w:sz w:val="24"/>
          <w:szCs w:val="24"/>
          <w14:ligatures w14:val="none"/>
        </w:rPr>
        <w:t xml:space="preserve">     </w:t>
      </w:r>
      <w:r w:rsidRPr="00222A33">
        <w:rPr>
          <w:rFonts w:ascii="Times New Roman" w:eastAsia="宋体" w:hAnsi="Times New Roman" w:cs="Times New Roman"/>
          <w:sz w:val="24"/>
          <w:szCs w:val="24"/>
          <w14:ligatures w14:val="none"/>
        </w:rPr>
        <w:t>证券简称：渤海股份</w:t>
      </w:r>
      <w:r w:rsidRPr="00222A33">
        <w:rPr>
          <w:rFonts w:ascii="Times New Roman" w:eastAsia="宋体" w:hAnsi="Times New Roman" w:cs="Times New Roman"/>
          <w:sz w:val="24"/>
          <w:szCs w:val="24"/>
          <w14:ligatures w14:val="none"/>
        </w:rPr>
        <w:t xml:space="preserve">     </w:t>
      </w:r>
      <w:r w:rsidR="00222A33">
        <w:rPr>
          <w:rFonts w:ascii="Times New Roman" w:eastAsia="宋体" w:hAnsi="Times New Roman" w:cs="Times New Roman"/>
          <w:sz w:val="24"/>
          <w:szCs w:val="24"/>
          <w14:ligatures w14:val="none"/>
        </w:rPr>
        <w:t xml:space="preserve">             </w:t>
      </w:r>
      <w:r w:rsidRPr="00222A33">
        <w:rPr>
          <w:rFonts w:ascii="Times New Roman" w:eastAsia="宋体" w:hAnsi="Times New Roman" w:cs="Times New Roman"/>
          <w:sz w:val="24"/>
          <w:szCs w:val="24"/>
          <w14:ligatures w14:val="none"/>
        </w:rPr>
        <w:t xml:space="preserve">        </w:t>
      </w:r>
      <w:r w:rsidRPr="00222A33">
        <w:rPr>
          <w:rFonts w:ascii="Times New Roman" w:eastAsia="宋体" w:hAnsi="Times New Roman" w:cs="Times New Roman"/>
          <w:sz w:val="24"/>
          <w:szCs w:val="24"/>
          <w14:ligatures w14:val="none"/>
        </w:rPr>
        <w:t>公告编号：</w:t>
      </w:r>
      <w:r w:rsidRPr="00222A33">
        <w:rPr>
          <w:rFonts w:ascii="Times New Roman" w:eastAsia="宋体" w:hAnsi="Times New Roman" w:cs="Times New Roman"/>
          <w:sz w:val="24"/>
          <w:szCs w:val="24"/>
          <w14:ligatures w14:val="none"/>
        </w:rPr>
        <w:t>202</w:t>
      </w:r>
      <w:r w:rsidR="00AD0BEE">
        <w:rPr>
          <w:rFonts w:ascii="Times New Roman" w:eastAsia="宋体" w:hAnsi="Times New Roman" w:cs="Times New Roman"/>
          <w:sz w:val="24"/>
          <w:szCs w:val="24"/>
          <w14:ligatures w14:val="none"/>
        </w:rPr>
        <w:t>4</w:t>
      </w:r>
      <w:r w:rsidRPr="00222A33">
        <w:rPr>
          <w:rFonts w:ascii="Times New Roman" w:eastAsia="宋体" w:hAnsi="Times New Roman" w:cs="Times New Roman"/>
          <w:sz w:val="24"/>
          <w:szCs w:val="24"/>
          <w14:ligatures w14:val="none"/>
        </w:rPr>
        <w:t>-03</w:t>
      </w:r>
      <w:r w:rsidR="00236EF9">
        <w:rPr>
          <w:rFonts w:ascii="Times New Roman" w:eastAsia="宋体" w:hAnsi="Times New Roman" w:cs="Times New Roman"/>
          <w:sz w:val="24"/>
          <w:szCs w:val="24"/>
          <w14:ligatures w14:val="none"/>
        </w:rPr>
        <w:t>2</w:t>
      </w:r>
    </w:p>
    <w:p w14:paraId="53FA6A8C" w14:textId="54A848DF" w:rsidR="00215F63" w:rsidRPr="00222A33" w:rsidRDefault="007A75D0">
      <w:pPr>
        <w:spacing w:after="1000" w:line="400" w:lineRule="exact"/>
        <w:jc w:val="center"/>
        <w:rPr>
          <w:rFonts w:ascii="Times New Roman" w:eastAsia="宋体" w:hAnsi="Times New Roman" w:cs="Times New Roman"/>
          <w:b/>
          <w:bCs/>
          <w:sz w:val="36"/>
          <w:szCs w:val="36"/>
          <w14:ligatures w14:val="none"/>
        </w:rPr>
      </w:pPr>
      <w:r w:rsidRPr="00222A33">
        <w:rPr>
          <w:rFonts w:ascii="Times New Roman" w:eastAsia="宋体" w:hAnsi="Times New Roman" w:cs="Times New Roman"/>
          <w:b/>
          <w:bCs/>
          <w:sz w:val="36"/>
          <w:szCs w:val="36"/>
          <w14:ligatures w14:val="none"/>
        </w:rPr>
        <w:t>渤海水业股份有限公司</w:t>
      </w:r>
      <w:r w:rsidRPr="00222A33">
        <w:rPr>
          <w:rFonts w:ascii="Times New Roman" w:eastAsia="宋体" w:hAnsi="Times New Roman" w:cs="Times New Roman"/>
          <w:b/>
          <w:bCs/>
          <w:sz w:val="36"/>
          <w:szCs w:val="36"/>
          <w14:ligatures w14:val="none"/>
        </w:rPr>
        <w:t>2023</w:t>
      </w:r>
      <w:r w:rsidRPr="00222A33">
        <w:rPr>
          <w:rFonts w:ascii="Times New Roman" w:eastAsia="宋体" w:hAnsi="Times New Roman" w:cs="Times New Roman"/>
          <w:b/>
          <w:bCs/>
          <w:sz w:val="36"/>
          <w:szCs w:val="36"/>
          <w14:ligatures w14:val="none"/>
        </w:rPr>
        <w:t>年年度报告摘要</w:t>
      </w:r>
    </w:p>
    <w:p w14:paraId="48D66E86" w14:textId="77777777" w:rsidR="00215F63" w:rsidRPr="0046769C" w:rsidRDefault="007A75D0">
      <w:pPr>
        <w:pStyle w:val="2"/>
        <w:spacing w:before="300" w:after="300" w:line="320" w:lineRule="exact"/>
        <w:rPr>
          <w:rFonts w:ascii="Times New Roman" w:eastAsia="宋体" w:hAnsi="Times New Roman" w:cs="宋体"/>
          <w:b/>
          <w:bCs/>
          <w:sz w:val="24"/>
          <w:szCs w:val="24"/>
        </w:rPr>
      </w:pPr>
      <w:bookmarkStart w:id="0" w:name="_Toc988889"/>
      <w:r w:rsidRPr="0046769C">
        <w:rPr>
          <w:rFonts w:ascii="Times New Roman" w:eastAsia="宋体" w:hAnsi="Times New Roman" w:cs="宋体"/>
          <w:b/>
          <w:bCs/>
          <w:sz w:val="24"/>
          <w:szCs w:val="24"/>
        </w:rPr>
        <w:t>一、重要提示</w:t>
      </w:r>
      <w:bookmarkEnd w:id="0"/>
    </w:p>
    <w:p w14:paraId="655AF992"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本年度报告摘要来自年度报告全文，为全面了解本公司的经营成果、财务状况及未来发展规划，投资者应当到证监会指定媒体仔细阅读年度报告全文。</w:t>
      </w:r>
    </w:p>
    <w:p w14:paraId="6E254FA5"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所有董事均已出席了审议本报告的董事会会议。</w:t>
      </w:r>
    </w:p>
    <w:p w14:paraId="286D6594"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非标准审计意见提示</w:t>
      </w:r>
    </w:p>
    <w:p w14:paraId="07DEA354"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不适用</w:t>
      </w:r>
    </w:p>
    <w:p w14:paraId="032C88B7"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董事会审议的报告期利润分配预案或公积金转增股本预案</w:t>
      </w:r>
    </w:p>
    <w:p w14:paraId="5E8574A0"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t>不适用</w:t>
      </w:r>
    </w:p>
    <w:p w14:paraId="40D7F50B"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是否以公积金转增股本</w:t>
      </w:r>
    </w:p>
    <w:p w14:paraId="37E08C73"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是</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否</w:t>
      </w:r>
    </w:p>
    <w:p w14:paraId="3C78EF5E"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公司经本次董事会审议通过的利润分配预案为：以</w:t>
      </w:r>
      <w:r w:rsidRPr="0046769C">
        <w:rPr>
          <w:rFonts w:ascii="Times New Roman" w:eastAsia="宋体" w:hAnsi="Times New Roman" w:cs="宋体"/>
          <w:sz w:val="18"/>
          <w:szCs w:val="18"/>
        </w:rPr>
        <w:t>352658600</w:t>
      </w:r>
      <w:r w:rsidRPr="0046769C">
        <w:rPr>
          <w:rFonts w:ascii="Times New Roman" w:eastAsia="宋体" w:hAnsi="Times New Roman" w:cs="宋体"/>
          <w:sz w:val="18"/>
          <w:szCs w:val="18"/>
        </w:rPr>
        <w:t>为基数，向全体股东每</w:t>
      </w:r>
      <w:r w:rsidRPr="0046769C">
        <w:rPr>
          <w:rFonts w:ascii="Times New Roman" w:eastAsia="宋体" w:hAnsi="Times New Roman" w:cs="宋体"/>
          <w:sz w:val="18"/>
          <w:szCs w:val="18"/>
        </w:rPr>
        <w:t>10</w:t>
      </w:r>
      <w:r w:rsidRPr="0046769C">
        <w:rPr>
          <w:rFonts w:ascii="Times New Roman" w:eastAsia="宋体" w:hAnsi="Times New Roman" w:cs="宋体"/>
          <w:sz w:val="18"/>
          <w:szCs w:val="18"/>
        </w:rPr>
        <w:t>股派发现金红利</w:t>
      </w:r>
      <w:r w:rsidRPr="0046769C">
        <w:rPr>
          <w:rFonts w:ascii="Times New Roman" w:eastAsia="宋体" w:hAnsi="Times New Roman" w:cs="宋体"/>
          <w:sz w:val="18"/>
          <w:szCs w:val="18"/>
        </w:rPr>
        <w:t>0.20</w:t>
      </w:r>
      <w:r w:rsidRPr="0046769C">
        <w:rPr>
          <w:rFonts w:ascii="Times New Roman" w:eastAsia="宋体" w:hAnsi="Times New Roman" w:cs="宋体"/>
          <w:sz w:val="18"/>
          <w:szCs w:val="18"/>
        </w:rPr>
        <w:t>元（含税），送红股</w:t>
      </w:r>
      <w:r w:rsidRPr="0046769C">
        <w:rPr>
          <w:rFonts w:ascii="Times New Roman" w:eastAsia="宋体" w:hAnsi="Times New Roman" w:cs="宋体"/>
          <w:sz w:val="18"/>
          <w:szCs w:val="18"/>
        </w:rPr>
        <w:t>0</w:t>
      </w:r>
      <w:r w:rsidRPr="0046769C">
        <w:rPr>
          <w:rFonts w:ascii="Times New Roman" w:eastAsia="宋体" w:hAnsi="Times New Roman" w:cs="宋体"/>
          <w:sz w:val="18"/>
          <w:szCs w:val="18"/>
        </w:rPr>
        <w:t>股（含税），不以公积金转增股本。</w:t>
      </w:r>
    </w:p>
    <w:p w14:paraId="0683CFF4"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董事会决议通过的本报告期优先股利润分配预案</w:t>
      </w:r>
    </w:p>
    <w:p w14:paraId="09CD7F36" w14:textId="36564C4E"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004C32A9" w:rsidRPr="004D70A1">
        <w:rPr>
          <w:rFonts w:ascii="Times New Roman" w:eastAsia="宋体" w:hAnsi="Times New Roman" w:cs="Times New Roman"/>
          <w:sz w:val="18"/>
          <w:szCs w:val="18"/>
        </w:rPr>
        <w:sym w:font="Wingdings 2" w:char="F052"/>
      </w:r>
      <w:r w:rsidRPr="0046769C">
        <w:rPr>
          <w:rFonts w:ascii="Times New Roman" w:eastAsia="宋体" w:hAnsi="Times New Roman" w:cs="宋体"/>
          <w:sz w:val="18"/>
          <w:szCs w:val="18"/>
        </w:rPr>
        <w:t>不适用</w:t>
      </w:r>
    </w:p>
    <w:p w14:paraId="2B95FD9B" w14:textId="77777777" w:rsidR="00215F63" w:rsidRPr="0046769C" w:rsidRDefault="007A75D0">
      <w:pPr>
        <w:pStyle w:val="2"/>
        <w:spacing w:before="300" w:after="300" w:line="320" w:lineRule="exact"/>
        <w:rPr>
          <w:rFonts w:ascii="Times New Roman" w:eastAsia="宋体" w:hAnsi="Times New Roman" w:cs="宋体"/>
          <w:b/>
          <w:bCs/>
          <w:sz w:val="24"/>
          <w:szCs w:val="24"/>
        </w:rPr>
      </w:pPr>
      <w:bookmarkStart w:id="1" w:name="_Toc988890"/>
      <w:r w:rsidRPr="0046769C">
        <w:rPr>
          <w:rFonts w:ascii="Times New Roman" w:eastAsia="宋体" w:hAnsi="Times New Roman" w:cs="宋体"/>
          <w:b/>
          <w:bCs/>
          <w:sz w:val="24"/>
          <w:szCs w:val="24"/>
        </w:rPr>
        <w:t>二、公司基本情况</w:t>
      </w:r>
      <w:bookmarkEnd w:id="1"/>
    </w:p>
    <w:p w14:paraId="342EE59F" w14:textId="77777777" w:rsidR="00215F63" w:rsidRPr="0046769C" w:rsidRDefault="007A75D0">
      <w:pPr>
        <w:pStyle w:val="3"/>
        <w:spacing w:line="280" w:lineRule="exact"/>
        <w:jc w:val="left"/>
        <w:rPr>
          <w:rFonts w:ascii="Times New Roman" w:hAnsi="Times New Roman" w:cs="宋体"/>
          <w:b/>
          <w:bCs/>
        </w:rPr>
      </w:pPr>
      <w:bookmarkStart w:id="2" w:name="_Toc988891"/>
      <w:r w:rsidRPr="0046769C">
        <w:rPr>
          <w:rFonts w:ascii="Times New Roman" w:hAnsi="Times New Roman" w:cs="宋体"/>
          <w:b/>
          <w:bCs/>
        </w:rPr>
        <w:t>1</w:t>
      </w:r>
      <w:r w:rsidRPr="0046769C">
        <w:rPr>
          <w:rFonts w:ascii="Times New Roman" w:hAnsi="Times New Roman" w:cs="宋体"/>
          <w:b/>
          <w:bCs/>
        </w:rPr>
        <w:t>、公司简介</w:t>
      </w:r>
      <w:bookmarkEnd w:id="2"/>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402"/>
        <w:gridCol w:w="3119"/>
        <w:gridCol w:w="850"/>
        <w:gridCol w:w="1134"/>
        <w:gridCol w:w="1134"/>
      </w:tblGrid>
      <w:tr w:rsidR="00215F63" w:rsidRPr="0046769C" w14:paraId="172A28A4"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062BD517"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股票简称</w:t>
            </w:r>
          </w:p>
        </w:tc>
        <w:tc>
          <w:tcPr>
            <w:tcW w:w="3969" w:type="dxa"/>
            <w:gridSpan w:val="2"/>
            <w:tcBorders>
              <w:top w:val="single" w:sz="2" w:space="0" w:color="auto"/>
              <w:left w:val="single" w:sz="2" w:space="0" w:color="auto"/>
              <w:bottom w:val="single" w:sz="2" w:space="0" w:color="auto"/>
              <w:right w:val="single" w:sz="2" w:space="0" w:color="auto"/>
            </w:tcBorders>
            <w:vAlign w:val="center"/>
          </w:tcPr>
          <w:p w14:paraId="5A9A7C0A"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渤海股份</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3957DAC"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股票代码</w:t>
            </w:r>
          </w:p>
        </w:tc>
        <w:tc>
          <w:tcPr>
            <w:tcW w:w="1134" w:type="dxa"/>
            <w:tcBorders>
              <w:top w:val="single" w:sz="2" w:space="0" w:color="auto"/>
              <w:left w:val="single" w:sz="2" w:space="0" w:color="auto"/>
              <w:bottom w:val="single" w:sz="2" w:space="0" w:color="auto"/>
              <w:right w:val="single" w:sz="2" w:space="0" w:color="auto"/>
            </w:tcBorders>
            <w:vAlign w:val="center"/>
          </w:tcPr>
          <w:p w14:paraId="49031ADB"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000605</w:t>
            </w:r>
          </w:p>
        </w:tc>
      </w:tr>
      <w:tr w:rsidR="00215F63" w:rsidRPr="0046769C" w14:paraId="22C07D02"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4765D054"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股票上市交易所</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27F5FB90"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深圳证券交易所</w:t>
            </w:r>
          </w:p>
        </w:tc>
      </w:tr>
      <w:tr w:rsidR="00215F63" w:rsidRPr="0046769C" w14:paraId="43A6633D"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4D888A52"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联系人和联系方式</w:t>
            </w:r>
          </w:p>
        </w:tc>
        <w:tc>
          <w:tcPr>
            <w:tcW w:w="3119" w:type="dxa"/>
            <w:tcBorders>
              <w:top w:val="single" w:sz="2" w:space="0" w:color="auto"/>
              <w:left w:val="single" w:sz="2" w:space="0" w:color="auto"/>
              <w:bottom w:val="single" w:sz="2" w:space="0" w:color="auto"/>
              <w:right w:val="single" w:sz="2" w:space="0" w:color="auto"/>
            </w:tcBorders>
            <w:shd w:val="clear" w:color="auto" w:fill="D3D3D3"/>
            <w:vAlign w:val="center"/>
          </w:tcPr>
          <w:p w14:paraId="0A2F4867"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董事会秘书</w:t>
            </w:r>
          </w:p>
        </w:tc>
        <w:tc>
          <w:tcPr>
            <w:tcW w:w="311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52F95E60"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证券事务代表</w:t>
            </w:r>
          </w:p>
        </w:tc>
      </w:tr>
      <w:tr w:rsidR="00215F63" w:rsidRPr="0046769C" w14:paraId="55A86AAF"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6139F73F"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姓名</w:t>
            </w:r>
          </w:p>
        </w:tc>
        <w:tc>
          <w:tcPr>
            <w:tcW w:w="3119" w:type="dxa"/>
            <w:tcBorders>
              <w:top w:val="single" w:sz="2" w:space="0" w:color="auto"/>
              <w:left w:val="single" w:sz="2" w:space="0" w:color="auto"/>
              <w:bottom w:val="single" w:sz="2" w:space="0" w:color="auto"/>
              <w:right w:val="single" w:sz="2" w:space="0" w:color="auto"/>
            </w:tcBorders>
            <w:vAlign w:val="center"/>
          </w:tcPr>
          <w:p w14:paraId="07CF0EC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李新霞</w:t>
            </w:r>
          </w:p>
        </w:tc>
        <w:tc>
          <w:tcPr>
            <w:tcW w:w="3118" w:type="dxa"/>
            <w:gridSpan w:val="3"/>
            <w:tcBorders>
              <w:top w:val="single" w:sz="2" w:space="0" w:color="auto"/>
              <w:left w:val="single" w:sz="2" w:space="0" w:color="auto"/>
              <w:bottom w:val="single" w:sz="2" w:space="0" w:color="auto"/>
              <w:right w:val="single" w:sz="2" w:space="0" w:color="auto"/>
            </w:tcBorders>
            <w:vAlign w:val="center"/>
          </w:tcPr>
          <w:p w14:paraId="2D775298"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刘杨</w:t>
            </w:r>
          </w:p>
        </w:tc>
      </w:tr>
      <w:tr w:rsidR="00215F63" w:rsidRPr="0046769C" w14:paraId="79EE35B3"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391190C5"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办公地址</w:t>
            </w:r>
          </w:p>
        </w:tc>
        <w:tc>
          <w:tcPr>
            <w:tcW w:w="3119" w:type="dxa"/>
            <w:tcBorders>
              <w:top w:val="single" w:sz="2" w:space="0" w:color="auto"/>
              <w:left w:val="single" w:sz="2" w:space="0" w:color="auto"/>
              <w:bottom w:val="single" w:sz="2" w:space="0" w:color="auto"/>
              <w:right w:val="single" w:sz="2" w:space="0" w:color="auto"/>
            </w:tcBorders>
            <w:vAlign w:val="center"/>
          </w:tcPr>
          <w:p w14:paraId="76FA79E0" w14:textId="4BBBA5C5"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北京顺义区南法信镇机场北街</w:t>
            </w:r>
            <w:r w:rsidRPr="0046769C">
              <w:rPr>
                <w:rFonts w:ascii="Times New Roman" w:eastAsia="宋体" w:hAnsi="Times New Roman" w:cs="宋体"/>
                <w:sz w:val="18"/>
                <w:szCs w:val="18"/>
              </w:rPr>
              <w:t>8</w:t>
            </w:r>
            <w:r w:rsidRPr="0046769C">
              <w:rPr>
                <w:rFonts w:ascii="Times New Roman" w:eastAsia="宋体" w:hAnsi="Times New Roman" w:cs="宋体"/>
                <w:sz w:val="18"/>
                <w:szCs w:val="18"/>
              </w:rPr>
              <w:t>号院</w:t>
            </w:r>
            <w:r w:rsidRPr="0046769C">
              <w:rPr>
                <w:rFonts w:ascii="Times New Roman" w:eastAsia="宋体" w:hAnsi="Times New Roman" w:cs="宋体"/>
                <w:sz w:val="18"/>
                <w:szCs w:val="18"/>
              </w:rPr>
              <w:t>2</w:t>
            </w:r>
            <w:r w:rsidRPr="0046769C">
              <w:rPr>
                <w:rFonts w:ascii="Times New Roman" w:eastAsia="宋体" w:hAnsi="Times New Roman" w:cs="宋体"/>
                <w:sz w:val="18"/>
                <w:szCs w:val="18"/>
              </w:rPr>
              <w:t>幢航港国际大厦</w:t>
            </w:r>
            <w:r w:rsidRPr="0046769C">
              <w:rPr>
                <w:rFonts w:ascii="Times New Roman" w:eastAsia="宋体" w:hAnsi="Times New Roman" w:cs="宋体"/>
                <w:sz w:val="18"/>
                <w:szCs w:val="18"/>
              </w:rPr>
              <w:t>9</w:t>
            </w:r>
            <w:r w:rsidRPr="0046769C">
              <w:rPr>
                <w:rFonts w:ascii="Times New Roman" w:eastAsia="宋体" w:hAnsi="Times New Roman" w:cs="宋体"/>
                <w:sz w:val="18"/>
                <w:szCs w:val="18"/>
              </w:rPr>
              <w:t>层</w:t>
            </w:r>
            <w:r w:rsidRPr="0046769C">
              <w:rPr>
                <w:rFonts w:ascii="Times New Roman" w:eastAsia="宋体" w:hAnsi="Times New Roman" w:cs="宋体"/>
                <w:sz w:val="18"/>
                <w:szCs w:val="18"/>
              </w:rPr>
              <w:t>902</w:t>
            </w:r>
          </w:p>
        </w:tc>
        <w:tc>
          <w:tcPr>
            <w:tcW w:w="3118" w:type="dxa"/>
            <w:gridSpan w:val="3"/>
            <w:tcBorders>
              <w:top w:val="single" w:sz="2" w:space="0" w:color="auto"/>
              <w:left w:val="single" w:sz="2" w:space="0" w:color="auto"/>
              <w:bottom w:val="single" w:sz="2" w:space="0" w:color="auto"/>
              <w:right w:val="single" w:sz="2" w:space="0" w:color="auto"/>
            </w:tcBorders>
            <w:vAlign w:val="center"/>
          </w:tcPr>
          <w:p w14:paraId="021BA74F" w14:textId="78D361B6"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北京顺义区南法信镇机场北街</w:t>
            </w:r>
            <w:r w:rsidRPr="0046769C">
              <w:rPr>
                <w:rFonts w:ascii="Times New Roman" w:eastAsia="宋体" w:hAnsi="Times New Roman" w:cs="宋体"/>
                <w:sz w:val="18"/>
                <w:szCs w:val="18"/>
              </w:rPr>
              <w:t>8</w:t>
            </w:r>
            <w:r w:rsidRPr="0046769C">
              <w:rPr>
                <w:rFonts w:ascii="Times New Roman" w:eastAsia="宋体" w:hAnsi="Times New Roman" w:cs="宋体"/>
                <w:sz w:val="18"/>
                <w:szCs w:val="18"/>
              </w:rPr>
              <w:t>号院</w:t>
            </w:r>
            <w:r w:rsidRPr="0046769C">
              <w:rPr>
                <w:rFonts w:ascii="Times New Roman" w:eastAsia="宋体" w:hAnsi="Times New Roman" w:cs="宋体"/>
                <w:sz w:val="18"/>
                <w:szCs w:val="18"/>
              </w:rPr>
              <w:t>2</w:t>
            </w:r>
            <w:r w:rsidRPr="0046769C">
              <w:rPr>
                <w:rFonts w:ascii="Times New Roman" w:eastAsia="宋体" w:hAnsi="Times New Roman" w:cs="宋体"/>
                <w:sz w:val="18"/>
                <w:szCs w:val="18"/>
              </w:rPr>
              <w:t>幢航港国际大厦</w:t>
            </w:r>
            <w:r w:rsidRPr="0046769C">
              <w:rPr>
                <w:rFonts w:ascii="Times New Roman" w:eastAsia="宋体" w:hAnsi="Times New Roman" w:cs="宋体"/>
                <w:sz w:val="18"/>
                <w:szCs w:val="18"/>
              </w:rPr>
              <w:t>9</w:t>
            </w:r>
            <w:r w:rsidRPr="0046769C">
              <w:rPr>
                <w:rFonts w:ascii="Times New Roman" w:eastAsia="宋体" w:hAnsi="Times New Roman" w:cs="宋体"/>
                <w:sz w:val="18"/>
                <w:szCs w:val="18"/>
              </w:rPr>
              <w:t>层</w:t>
            </w:r>
            <w:r w:rsidRPr="0046769C">
              <w:rPr>
                <w:rFonts w:ascii="Times New Roman" w:eastAsia="宋体" w:hAnsi="Times New Roman" w:cs="宋体"/>
                <w:sz w:val="18"/>
                <w:szCs w:val="18"/>
              </w:rPr>
              <w:t>902</w:t>
            </w:r>
          </w:p>
        </w:tc>
      </w:tr>
      <w:tr w:rsidR="00215F63" w:rsidRPr="0046769C" w14:paraId="79E7C02E"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428F071D"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传真</w:t>
            </w:r>
          </w:p>
        </w:tc>
        <w:tc>
          <w:tcPr>
            <w:tcW w:w="3119" w:type="dxa"/>
            <w:tcBorders>
              <w:top w:val="single" w:sz="2" w:space="0" w:color="auto"/>
              <w:left w:val="single" w:sz="2" w:space="0" w:color="auto"/>
              <w:bottom w:val="single" w:sz="2" w:space="0" w:color="auto"/>
              <w:right w:val="single" w:sz="2" w:space="0" w:color="auto"/>
            </w:tcBorders>
            <w:vAlign w:val="center"/>
          </w:tcPr>
          <w:p w14:paraId="0410B5E3"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010-89586920</w:t>
            </w:r>
          </w:p>
        </w:tc>
        <w:tc>
          <w:tcPr>
            <w:tcW w:w="3118" w:type="dxa"/>
            <w:gridSpan w:val="3"/>
            <w:tcBorders>
              <w:top w:val="single" w:sz="2" w:space="0" w:color="auto"/>
              <w:left w:val="single" w:sz="2" w:space="0" w:color="auto"/>
              <w:bottom w:val="single" w:sz="2" w:space="0" w:color="auto"/>
              <w:right w:val="single" w:sz="2" w:space="0" w:color="auto"/>
            </w:tcBorders>
            <w:vAlign w:val="center"/>
          </w:tcPr>
          <w:p w14:paraId="101E6A7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010-89586920</w:t>
            </w:r>
          </w:p>
        </w:tc>
      </w:tr>
      <w:tr w:rsidR="00215F63" w:rsidRPr="0046769C" w14:paraId="7A187752"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4AC49A33"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电话</w:t>
            </w:r>
          </w:p>
        </w:tc>
        <w:tc>
          <w:tcPr>
            <w:tcW w:w="3119" w:type="dxa"/>
            <w:tcBorders>
              <w:top w:val="single" w:sz="2" w:space="0" w:color="auto"/>
              <w:left w:val="single" w:sz="2" w:space="0" w:color="auto"/>
              <w:bottom w:val="single" w:sz="2" w:space="0" w:color="auto"/>
              <w:right w:val="single" w:sz="2" w:space="0" w:color="auto"/>
            </w:tcBorders>
            <w:vAlign w:val="center"/>
          </w:tcPr>
          <w:p w14:paraId="735C692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010-89586598</w:t>
            </w:r>
          </w:p>
        </w:tc>
        <w:tc>
          <w:tcPr>
            <w:tcW w:w="3118" w:type="dxa"/>
            <w:gridSpan w:val="3"/>
            <w:tcBorders>
              <w:top w:val="single" w:sz="2" w:space="0" w:color="auto"/>
              <w:left w:val="single" w:sz="2" w:space="0" w:color="auto"/>
              <w:bottom w:val="single" w:sz="2" w:space="0" w:color="auto"/>
              <w:right w:val="single" w:sz="2" w:space="0" w:color="auto"/>
            </w:tcBorders>
            <w:vAlign w:val="center"/>
          </w:tcPr>
          <w:p w14:paraId="3B3BA43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010-89586598</w:t>
            </w:r>
          </w:p>
        </w:tc>
      </w:tr>
      <w:tr w:rsidR="00215F63" w:rsidRPr="0046769C" w14:paraId="1602D545" w14:textId="77777777" w:rsidTr="004C32A9">
        <w:trPr>
          <w:trHeight w:val="240"/>
        </w:trPr>
        <w:tc>
          <w:tcPr>
            <w:tcW w:w="3402" w:type="dxa"/>
            <w:tcBorders>
              <w:top w:val="single" w:sz="2" w:space="0" w:color="auto"/>
              <w:left w:val="single" w:sz="2" w:space="0" w:color="auto"/>
              <w:bottom w:val="single" w:sz="2" w:space="0" w:color="auto"/>
              <w:right w:val="single" w:sz="2" w:space="0" w:color="auto"/>
            </w:tcBorders>
            <w:shd w:val="clear" w:color="auto" w:fill="D3D3D3"/>
            <w:vAlign w:val="center"/>
          </w:tcPr>
          <w:p w14:paraId="17A689B7"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电子信箱</w:t>
            </w:r>
          </w:p>
        </w:tc>
        <w:tc>
          <w:tcPr>
            <w:tcW w:w="3119" w:type="dxa"/>
            <w:tcBorders>
              <w:top w:val="single" w:sz="2" w:space="0" w:color="auto"/>
              <w:left w:val="single" w:sz="2" w:space="0" w:color="auto"/>
              <w:bottom w:val="single" w:sz="2" w:space="0" w:color="auto"/>
              <w:right w:val="single" w:sz="2" w:space="0" w:color="auto"/>
            </w:tcBorders>
            <w:vAlign w:val="center"/>
          </w:tcPr>
          <w:p w14:paraId="6AFDEDF2"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dongmi@bohai-water.com</w:t>
            </w:r>
          </w:p>
        </w:tc>
        <w:tc>
          <w:tcPr>
            <w:tcW w:w="3118" w:type="dxa"/>
            <w:gridSpan w:val="3"/>
            <w:tcBorders>
              <w:top w:val="single" w:sz="2" w:space="0" w:color="auto"/>
              <w:left w:val="single" w:sz="2" w:space="0" w:color="auto"/>
              <w:bottom w:val="single" w:sz="2" w:space="0" w:color="auto"/>
              <w:right w:val="single" w:sz="2" w:space="0" w:color="auto"/>
            </w:tcBorders>
            <w:vAlign w:val="center"/>
          </w:tcPr>
          <w:p w14:paraId="2A9E4D29"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dongmi@bohai-water.com</w:t>
            </w:r>
          </w:p>
        </w:tc>
      </w:tr>
    </w:tbl>
    <w:p w14:paraId="05BC7476" w14:textId="77777777" w:rsidR="00215F63" w:rsidRPr="0046769C" w:rsidRDefault="007A75D0">
      <w:pPr>
        <w:pStyle w:val="3"/>
        <w:spacing w:line="280" w:lineRule="exact"/>
        <w:jc w:val="left"/>
        <w:rPr>
          <w:rFonts w:ascii="Times New Roman" w:hAnsi="Times New Roman" w:cs="宋体"/>
          <w:b/>
          <w:bCs/>
        </w:rPr>
      </w:pPr>
      <w:bookmarkStart w:id="3" w:name="_Toc988892"/>
      <w:r w:rsidRPr="0046769C">
        <w:rPr>
          <w:rFonts w:ascii="Times New Roman" w:hAnsi="Times New Roman" w:cs="宋体"/>
          <w:b/>
          <w:bCs/>
        </w:rPr>
        <w:t>2</w:t>
      </w:r>
      <w:r w:rsidRPr="0046769C">
        <w:rPr>
          <w:rFonts w:ascii="Times New Roman" w:hAnsi="Times New Roman" w:cs="宋体"/>
          <w:b/>
          <w:bCs/>
        </w:rPr>
        <w:t>、报告期主要业务或产品简介</w:t>
      </w:r>
      <w:bookmarkEnd w:id="3"/>
    </w:p>
    <w:p w14:paraId="29CC95C8" w14:textId="77777777" w:rsidR="006467B6" w:rsidRPr="0046769C" w:rsidRDefault="007A75D0">
      <w:pPr>
        <w:pStyle w:val="a3"/>
        <w:spacing w:before="0" w:beforeAutospacing="0" w:after="0" w:afterAutospacing="0"/>
        <w:ind w:firstLine="345"/>
        <w:jc w:val="both"/>
        <w:divId w:val="347291342"/>
        <w:rPr>
          <w:rFonts w:ascii="Times New Roman" w:hAnsi="Times New Roman"/>
        </w:rPr>
      </w:pPr>
      <w:r w:rsidRPr="0046769C">
        <w:rPr>
          <w:rFonts w:ascii="Times New Roman" w:hAnsi="Times New Roman" w:hint="eastAsia"/>
          <w:sz w:val="18"/>
          <w:szCs w:val="18"/>
        </w:rPr>
        <w:t>公司主营业务包括原水开发供应，区域间调水，粗质水，自来水生产及输送，优质地下水高附加值经营，直饮水，城镇集中式供水，水务新技术研发应用，水环境治理的基础设施的投资建设及运营管理，市政及园区污水处理工程的投资及总承包，固废危废处置及资源再利用，清洁能源供暖业务。在供水领域，公司是天津市滨海新区原水的主要供应商以及部分区域的自来水供应商。在环境治理领域，公司可提供城市环境治理的投资建设和运营管理等服务，同时公司立</w:t>
      </w:r>
      <w:r w:rsidRPr="0046769C">
        <w:rPr>
          <w:rFonts w:ascii="Times New Roman" w:hAnsi="Times New Roman" w:hint="eastAsia"/>
          <w:sz w:val="18"/>
          <w:szCs w:val="18"/>
        </w:rPr>
        <w:lastRenderedPageBreak/>
        <w:t>足京津冀和长三角区域，提供固废危废处置及资源化利用服务。在清洁能源领域，公司采用热电联产、相变储能等清洁能源技术，提供市政清洁能源供暖服务。</w:t>
      </w:r>
    </w:p>
    <w:p w14:paraId="289AD500" w14:textId="77777777" w:rsidR="00215F63" w:rsidRPr="0046769C" w:rsidRDefault="007A75D0">
      <w:pPr>
        <w:pStyle w:val="3"/>
        <w:spacing w:line="280" w:lineRule="exact"/>
        <w:jc w:val="left"/>
        <w:rPr>
          <w:rFonts w:ascii="Times New Roman" w:hAnsi="Times New Roman" w:cs="宋体"/>
          <w:b/>
          <w:bCs/>
        </w:rPr>
      </w:pPr>
      <w:bookmarkStart w:id="4" w:name="_Toc988893"/>
      <w:r w:rsidRPr="0046769C">
        <w:rPr>
          <w:rFonts w:ascii="Times New Roman" w:hAnsi="Times New Roman" w:cs="宋体"/>
          <w:b/>
          <w:bCs/>
        </w:rPr>
        <w:t>3</w:t>
      </w:r>
      <w:r w:rsidRPr="0046769C">
        <w:rPr>
          <w:rFonts w:ascii="Times New Roman" w:hAnsi="Times New Roman" w:cs="宋体"/>
          <w:b/>
          <w:bCs/>
        </w:rPr>
        <w:t>、主要会计数据和财务指标</w:t>
      </w:r>
      <w:bookmarkEnd w:id="4"/>
    </w:p>
    <w:p w14:paraId="56EA3571" w14:textId="77777777" w:rsidR="00215F63" w:rsidRPr="0046769C" w:rsidRDefault="007A75D0">
      <w:pPr>
        <w:keepNext/>
        <w:keepLines/>
        <w:spacing w:before="300" w:after="300" w:line="280" w:lineRule="exact"/>
        <w:outlineLvl w:val="3"/>
        <w:rPr>
          <w:rFonts w:ascii="Times New Roman" w:eastAsia="宋体" w:hAnsi="Times New Roman" w:cs="宋体"/>
          <w:b/>
          <w:bCs/>
          <w:sz w:val="18"/>
          <w:szCs w:val="18"/>
        </w:rPr>
      </w:pPr>
      <w:bookmarkStart w:id="5" w:name="_Toc988894"/>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1</w:t>
      </w:r>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 xml:space="preserve"> </w:t>
      </w:r>
      <w:r w:rsidRPr="0046769C">
        <w:rPr>
          <w:rFonts w:ascii="Times New Roman" w:eastAsia="宋体" w:hAnsi="Times New Roman" w:cs="宋体"/>
          <w:b/>
          <w:bCs/>
          <w:sz w:val="18"/>
          <w:szCs w:val="18"/>
        </w:rPr>
        <w:t>近三年主要会计数据和财务指标</w:t>
      </w:r>
      <w:bookmarkEnd w:id="5"/>
    </w:p>
    <w:p w14:paraId="72112516"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公司是否需追溯调整或重述以前年度会计数据</w:t>
      </w:r>
    </w:p>
    <w:p w14:paraId="16C8B28F"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是</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t>否</w:t>
      </w:r>
    </w:p>
    <w:p w14:paraId="2C76CB47"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追溯调整或重述原因</w:t>
      </w:r>
    </w:p>
    <w:p w14:paraId="64612687"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会计政策变更</w:t>
      </w:r>
    </w:p>
    <w:p w14:paraId="7E0FEAAC" w14:textId="77777777" w:rsidR="00215F63" w:rsidRPr="0046769C" w:rsidRDefault="007A75D0">
      <w:pPr>
        <w:spacing w:before="120" w:after="120"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元</w:t>
      </w: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306"/>
        <w:gridCol w:w="1476"/>
        <w:gridCol w:w="1476"/>
        <w:gridCol w:w="1476"/>
        <w:gridCol w:w="1059"/>
        <w:gridCol w:w="1476"/>
        <w:gridCol w:w="1476"/>
      </w:tblGrid>
      <w:tr w:rsidR="00215F63" w:rsidRPr="0046769C" w14:paraId="68D18F1E" w14:textId="77777777" w:rsidTr="00217AA2">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3AABC53" w14:textId="77777777" w:rsidR="00215F63" w:rsidRPr="0046769C" w:rsidRDefault="00215F63">
            <w:pPr>
              <w:rPr>
                <w:rFonts w:ascii="Times New Roman" w:eastAsia="宋体" w:hAnsi="Times New Roman"/>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8078F1A"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2023</w:t>
            </w:r>
            <w:r w:rsidRPr="0046769C">
              <w:rPr>
                <w:rFonts w:ascii="Times New Roman" w:eastAsia="宋体" w:hAnsi="Times New Roman" w:cs="宋体"/>
                <w:sz w:val="18"/>
                <w:szCs w:val="18"/>
              </w:rPr>
              <w:t>年末</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5098ED8"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2022</w:t>
            </w:r>
            <w:r w:rsidRPr="0046769C">
              <w:rPr>
                <w:rFonts w:ascii="Times New Roman" w:eastAsia="宋体" w:hAnsi="Times New Roman" w:cs="宋体"/>
                <w:sz w:val="18"/>
                <w:szCs w:val="18"/>
              </w:rPr>
              <w:t>年末</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7AB9C95C"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本年末比上年末增减</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46EC6E8"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2021</w:t>
            </w:r>
            <w:r w:rsidRPr="0046769C">
              <w:rPr>
                <w:rFonts w:ascii="Times New Roman" w:eastAsia="宋体" w:hAnsi="Times New Roman" w:cs="宋体"/>
                <w:sz w:val="18"/>
                <w:szCs w:val="18"/>
              </w:rPr>
              <w:t>年末</w:t>
            </w:r>
          </w:p>
        </w:tc>
      </w:tr>
      <w:tr w:rsidR="00215F63" w:rsidRPr="0046769C" w14:paraId="6E58F3D5" w14:textId="77777777" w:rsidTr="00217AA2">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14:paraId="4A6C4DC3" w14:textId="77777777" w:rsidR="00215F63" w:rsidRPr="0046769C" w:rsidRDefault="00215F63">
            <w:pPr>
              <w:rPr>
                <w:rFonts w:ascii="Times New Roman" w:eastAsia="宋体" w:hAnsi="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14:paraId="37EFFFD7" w14:textId="77777777" w:rsidR="00215F63" w:rsidRPr="0046769C" w:rsidRDefault="00215F63">
            <w:pPr>
              <w:rPr>
                <w:rFonts w:ascii="Times New Roman" w:eastAsia="宋体"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D36B852"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749D3C5"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64DE5F6"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657BED73"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E5141DF"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r>
      <w:tr w:rsidR="00215F63" w:rsidRPr="0046769C" w14:paraId="0A8BAE51"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658F1AD4"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总资产</w:t>
            </w:r>
          </w:p>
        </w:tc>
        <w:tc>
          <w:tcPr>
            <w:tcW w:w="0" w:type="auto"/>
            <w:tcBorders>
              <w:top w:val="single" w:sz="2" w:space="0" w:color="auto"/>
              <w:left w:val="single" w:sz="2" w:space="0" w:color="auto"/>
              <w:bottom w:val="single" w:sz="2" w:space="0" w:color="auto"/>
              <w:right w:val="single" w:sz="2" w:space="0" w:color="auto"/>
            </w:tcBorders>
            <w:vAlign w:val="center"/>
          </w:tcPr>
          <w:p w14:paraId="3E0518F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7,986,057,318.47</w:t>
            </w:r>
          </w:p>
        </w:tc>
        <w:tc>
          <w:tcPr>
            <w:tcW w:w="0" w:type="auto"/>
            <w:tcBorders>
              <w:top w:val="single" w:sz="2" w:space="0" w:color="auto"/>
              <w:left w:val="single" w:sz="2" w:space="0" w:color="auto"/>
              <w:bottom w:val="single" w:sz="2" w:space="0" w:color="auto"/>
              <w:right w:val="single" w:sz="2" w:space="0" w:color="auto"/>
            </w:tcBorders>
            <w:vAlign w:val="center"/>
          </w:tcPr>
          <w:p w14:paraId="649AE54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8,077,794,714.94</w:t>
            </w:r>
          </w:p>
        </w:tc>
        <w:tc>
          <w:tcPr>
            <w:tcW w:w="0" w:type="auto"/>
            <w:tcBorders>
              <w:top w:val="single" w:sz="2" w:space="0" w:color="auto"/>
              <w:left w:val="single" w:sz="2" w:space="0" w:color="auto"/>
              <w:bottom w:val="single" w:sz="2" w:space="0" w:color="auto"/>
              <w:right w:val="single" w:sz="2" w:space="0" w:color="auto"/>
            </w:tcBorders>
            <w:vAlign w:val="center"/>
          </w:tcPr>
          <w:p w14:paraId="255A240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8,105,133,543.02</w:t>
            </w:r>
          </w:p>
        </w:tc>
        <w:tc>
          <w:tcPr>
            <w:tcW w:w="0" w:type="auto"/>
            <w:tcBorders>
              <w:top w:val="single" w:sz="2" w:space="0" w:color="auto"/>
              <w:left w:val="single" w:sz="2" w:space="0" w:color="auto"/>
              <w:bottom w:val="single" w:sz="2" w:space="0" w:color="auto"/>
              <w:right w:val="single" w:sz="2" w:space="0" w:color="auto"/>
            </w:tcBorders>
            <w:vAlign w:val="center"/>
          </w:tcPr>
          <w:p w14:paraId="0E247DC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-1.47%</w:t>
            </w:r>
          </w:p>
        </w:tc>
        <w:tc>
          <w:tcPr>
            <w:tcW w:w="0" w:type="auto"/>
            <w:tcBorders>
              <w:top w:val="single" w:sz="2" w:space="0" w:color="auto"/>
              <w:left w:val="single" w:sz="2" w:space="0" w:color="auto"/>
              <w:bottom w:val="single" w:sz="2" w:space="0" w:color="auto"/>
              <w:right w:val="single" w:sz="2" w:space="0" w:color="auto"/>
            </w:tcBorders>
            <w:vAlign w:val="center"/>
          </w:tcPr>
          <w:p w14:paraId="28FA0A5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7,795,315,669.48</w:t>
            </w:r>
          </w:p>
        </w:tc>
        <w:tc>
          <w:tcPr>
            <w:tcW w:w="0" w:type="auto"/>
            <w:tcBorders>
              <w:top w:val="single" w:sz="2" w:space="0" w:color="auto"/>
              <w:left w:val="single" w:sz="2" w:space="0" w:color="auto"/>
              <w:bottom w:val="single" w:sz="2" w:space="0" w:color="auto"/>
              <w:right w:val="single" w:sz="2" w:space="0" w:color="auto"/>
            </w:tcBorders>
            <w:vAlign w:val="center"/>
          </w:tcPr>
          <w:p w14:paraId="1B6B9DA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7,823,963,913.29</w:t>
            </w:r>
          </w:p>
        </w:tc>
      </w:tr>
      <w:tr w:rsidR="00215F63" w:rsidRPr="0046769C" w14:paraId="5A932B0C"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BAB1811"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归属于上市公司股东的净资产</w:t>
            </w:r>
          </w:p>
        </w:tc>
        <w:tc>
          <w:tcPr>
            <w:tcW w:w="0" w:type="auto"/>
            <w:tcBorders>
              <w:top w:val="single" w:sz="2" w:space="0" w:color="auto"/>
              <w:left w:val="single" w:sz="2" w:space="0" w:color="auto"/>
              <w:bottom w:val="single" w:sz="2" w:space="0" w:color="auto"/>
              <w:right w:val="single" w:sz="2" w:space="0" w:color="auto"/>
            </w:tcBorders>
            <w:vAlign w:val="center"/>
          </w:tcPr>
          <w:p w14:paraId="5DC7185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2,115,300,409.98</w:t>
            </w:r>
          </w:p>
        </w:tc>
        <w:tc>
          <w:tcPr>
            <w:tcW w:w="0" w:type="auto"/>
            <w:tcBorders>
              <w:top w:val="single" w:sz="2" w:space="0" w:color="auto"/>
              <w:left w:val="single" w:sz="2" w:space="0" w:color="auto"/>
              <w:bottom w:val="single" w:sz="2" w:space="0" w:color="auto"/>
              <w:right w:val="single" w:sz="2" w:space="0" w:color="auto"/>
            </w:tcBorders>
            <w:vAlign w:val="center"/>
          </w:tcPr>
          <w:p w14:paraId="39FCDAF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2,102,642,336.38</w:t>
            </w:r>
          </w:p>
        </w:tc>
        <w:tc>
          <w:tcPr>
            <w:tcW w:w="0" w:type="auto"/>
            <w:tcBorders>
              <w:top w:val="single" w:sz="2" w:space="0" w:color="auto"/>
              <w:left w:val="single" w:sz="2" w:space="0" w:color="auto"/>
              <w:bottom w:val="single" w:sz="2" w:space="0" w:color="auto"/>
              <w:right w:val="single" w:sz="2" w:space="0" w:color="auto"/>
            </w:tcBorders>
            <w:vAlign w:val="center"/>
          </w:tcPr>
          <w:p w14:paraId="3468A25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2,103,321,147.35</w:t>
            </w:r>
          </w:p>
        </w:tc>
        <w:tc>
          <w:tcPr>
            <w:tcW w:w="0" w:type="auto"/>
            <w:tcBorders>
              <w:top w:val="single" w:sz="2" w:space="0" w:color="auto"/>
              <w:left w:val="single" w:sz="2" w:space="0" w:color="auto"/>
              <w:bottom w:val="single" w:sz="2" w:space="0" w:color="auto"/>
              <w:right w:val="single" w:sz="2" w:space="0" w:color="auto"/>
            </w:tcBorders>
            <w:vAlign w:val="center"/>
          </w:tcPr>
          <w:p w14:paraId="2D282245"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0.57%</w:t>
            </w:r>
          </w:p>
        </w:tc>
        <w:tc>
          <w:tcPr>
            <w:tcW w:w="0" w:type="auto"/>
            <w:tcBorders>
              <w:top w:val="single" w:sz="2" w:space="0" w:color="auto"/>
              <w:left w:val="single" w:sz="2" w:space="0" w:color="auto"/>
              <w:bottom w:val="single" w:sz="2" w:space="0" w:color="auto"/>
              <w:right w:val="single" w:sz="2" w:space="0" w:color="auto"/>
            </w:tcBorders>
            <w:vAlign w:val="center"/>
          </w:tcPr>
          <w:p w14:paraId="77B77BE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2,094,047,177.72</w:t>
            </w:r>
          </w:p>
        </w:tc>
        <w:tc>
          <w:tcPr>
            <w:tcW w:w="0" w:type="auto"/>
            <w:tcBorders>
              <w:top w:val="single" w:sz="2" w:space="0" w:color="auto"/>
              <w:left w:val="single" w:sz="2" w:space="0" w:color="auto"/>
              <w:bottom w:val="single" w:sz="2" w:space="0" w:color="auto"/>
              <w:right w:val="single" w:sz="2" w:space="0" w:color="auto"/>
            </w:tcBorders>
            <w:vAlign w:val="center"/>
          </w:tcPr>
          <w:p w14:paraId="5519D1D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2,093,963,647.65</w:t>
            </w:r>
          </w:p>
        </w:tc>
      </w:tr>
      <w:tr w:rsidR="00215F63" w:rsidRPr="0046769C" w14:paraId="65EAD939" w14:textId="77777777" w:rsidTr="00217AA2">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AE74951" w14:textId="77777777" w:rsidR="00215F63" w:rsidRPr="0046769C" w:rsidRDefault="00215F63">
            <w:pPr>
              <w:rPr>
                <w:rFonts w:ascii="Times New Roman" w:eastAsia="宋体" w:hAnsi="Times New Roman"/>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5F4A015"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2023</w:t>
            </w:r>
            <w:r w:rsidRPr="0046769C">
              <w:rPr>
                <w:rFonts w:ascii="Times New Roman" w:eastAsia="宋体" w:hAnsi="Times New Roman" w:cs="宋体"/>
                <w:sz w:val="18"/>
                <w:szCs w:val="18"/>
              </w:rPr>
              <w:t>年</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4AE48E7"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2022</w:t>
            </w:r>
            <w:r w:rsidRPr="0046769C">
              <w:rPr>
                <w:rFonts w:ascii="Times New Roman" w:eastAsia="宋体" w:hAnsi="Times New Roman" w:cs="宋体"/>
                <w:sz w:val="18"/>
                <w:szCs w:val="18"/>
              </w:rPr>
              <w:t>年</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6D2FA8BF"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本年比上年增减</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586997A1"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2021</w:t>
            </w:r>
            <w:r w:rsidRPr="0046769C">
              <w:rPr>
                <w:rFonts w:ascii="Times New Roman" w:eastAsia="宋体" w:hAnsi="Times New Roman" w:cs="宋体"/>
                <w:sz w:val="18"/>
                <w:szCs w:val="18"/>
              </w:rPr>
              <w:t>年</w:t>
            </w:r>
          </w:p>
        </w:tc>
      </w:tr>
      <w:tr w:rsidR="00215F63" w:rsidRPr="0046769C" w14:paraId="42D39604" w14:textId="77777777" w:rsidTr="00217AA2">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14:paraId="7D9C4276" w14:textId="77777777" w:rsidR="00215F63" w:rsidRPr="0046769C" w:rsidRDefault="00215F63">
            <w:pPr>
              <w:rPr>
                <w:rFonts w:ascii="Times New Roman" w:eastAsia="宋体" w:hAnsi="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14:paraId="6EAE9224" w14:textId="77777777" w:rsidR="00215F63" w:rsidRPr="0046769C" w:rsidRDefault="00215F63">
            <w:pPr>
              <w:rPr>
                <w:rFonts w:ascii="Times New Roman" w:eastAsia="宋体"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A2950DC"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E0FE368"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29404AB"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383DF93"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524E0DF"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调整后</w:t>
            </w:r>
          </w:p>
        </w:tc>
      </w:tr>
      <w:tr w:rsidR="00215F63" w:rsidRPr="0046769C" w14:paraId="662DA58E"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4A2EEA79"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营业收入</w:t>
            </w:r>
          </w:p>
        </w:tc>
        <w:tc>
          <w:tcPr>
            <w:tcW w:w="0" w:type="auto"/>
            <w:tcBorders>
              <w:top w:val="single" w:sz="2" w:space="0" w:color="auto"/>
              <w:left w:val="single" w:sz="2" w:space="0" w:color="auto"/>
              <w:bottom w:val="single" w:sz="2" w:space="0" w:color="auto"/>
              <w:right w:val="single" w:sz="2" w:space="0" w:color="auto"/>
            </w:tcBorders>
            <w:vAlign w:val="center"/>
          </w:tcPr>
          <w:p w14:paraId="04E607B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1,844,760,143.76</w:t>
            </w:r>
          </w:p>
        </w:tc>
        <w:tc>
          <w:tcPr>
            <w:tcW w:w="0" w:type="auto"/>
            <w:tcBorders>
              <w:top w:val="single" w:sz="2" w:space="0" w:color="auto"/>
              <w:left w:val="single" w:sz="2" w:space="0" w:color="auto"/>
              <w:bottom w:val="single" w:sz="2" w:space="0" w:color="auto"/>
              <w:right w:val="single" w:sz="2" w:space="0" w:color="auto"/>
            </w:tcBorders>
            <w:vAlign w:val="center"/>
          </w:tcPr>
          <w:p w14:paraId="07C1BBB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1,753,339,336.97</w:t>
            </w:r>
          </w:p>
        </w:tc>
        <w:tc>
          <w:tcPr>
            <w:tcW w:w="0" w:type="auto"/>
            <w:tcBorders>
              <w:top w:val="single" w:sz="2" w:space="0" w:color="auto"/>
              <w:left w:val="single" w:sz="2" w:space="0" w:color="auto"/>
              <w:bottom w:val="single" w:sz="2" w:space="0" w:color="auto"/>
              <w:right w:val="single" w:sz="2" w:space="0" w:color="auto"/>
            </w:tcBorders>
            <w:vAlign w:val="center"/>
          </w:tcPr>
          <w:p w14:paraId="2E4B079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1,753,339,336.97</w:t>
            </w:r>
          </w:p>
        </w:tc>
        <w:tc>
          <w:tcPr>
            <w:tcW w:w="0" w:type="auto"/>
            <w:tcBorders>
              <w:top w:val="single" w:sz="2" w:space="0" w:color="auto"/>
              <w:left w:val="single" w:sz="2" w:space="0" w:color="auto"/>
              <w:bottom w:val="single" w:sz="2" w:space="0" w:color="auto"/>
              <w:right w:val="single" w:sz="2" w:space="0" w:color="auto"/>
            </w:tcBorders>
            <w:vAlign w:val="center"/>
          </w:tcPr>
          <w:p w14:paraId="0F6FEB5A"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5.21%</w:t>
            </w:r>
          </w:p>
        </w:tc>
        <w:tc>
          <w:tcPr>
            <w:tcW w:w="0" w:type="auto"/>
            <w:tcBorders>
              <w:top w:val="single" w:sz="2" w:space="0" w:color="auto"/>
              <w:left w:val="single" w:sz="2" w:space="0" w:color="auto"/>
              <w:bottom w:val="single" w:sz="2" w:space="0" w:color="auto"/>
              <w:right w:val="single" w:sz="2" w:space="0" w:color="auto"/>
            </w:tcBorders>
            <w:vAlign w:val="center"/>
          </w:tcPr>
          <w:p w14:paraId="53A4A2F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1,812,227,480.20</w:t>
            </w:r>
          </w:p>
        </w:tc>
        <w:tc>
          <w:tcPr>
            <w:tcW w:w="0" w:type="auto"/>
            <w:tcBorders>
              <w:top w:val="single" w:sz="2" w:space="0" w:color="auto"/>
              <w:left w:val="single" w:sz="2" w:space="0" w:color="auto"/>
              <w:bottom w:val="single" w:sz="2" w:space="0" w:color="auto"/>
              <w:right w:val="single" w:sz="2" w:space="0" w:color="auto"/>
            </w:tcBorders>
            <w:vAlign w:val="center"/>
          </w:tcPr>
          <w:p w14:paraId="6E0C3A8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1,812,227,480.20</w:t>
            </w:r>
          </w:p>
        </w:tc>
      </w:tr>
      <w:tr w:rsidR="00215F63" w:rsidRPr="0046769C" w14:paraId="4185776A"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00351D12"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归属于上市公司股东的净利润</w:t>
            </w:r>
          </w:p>
        </w:tc>
        <w:tc>
          <w:tcPr>
            <w:tcW w:w="0" w:type="auto"/>
            <w:tcBorders>
              <w:top w:val="single" w:sz="2" w:space="0" w:color="auto"/>
              <w:left w:val="single" w:sz="2" w:space="0" w:color="auto"/>
              <w:bottom w:val="single" w:sz="2" w:space="0" w:color="auto"/>
              <w:right w:val="single" w:sz="2" w:space="0" w:color="auto"/>
            </w:tcBorders>
            <w:vAlign w:val="center"/>
          </w:tcPr>
          <w:p w14:paraId="10A8DEE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20,121,787.89</w:t>
            </w:r>
          </w:p>
        </w:tc>
        <w:tc>
          <w:tcPr>
            <w:tcW w:w="0" w:type="auto"/>
            <w:tcBorders>
              <w:top w:val="single" w:sz="2" w:space="0" w:color="auto"/>
              <w:left w:val="single" w:sz="2" w:space="0" w:color="auto"/>
              <w:bottom w:val="single" w:sz="2" w:space="0" w:color="auto"/>
              <w:right w:val="single" w:sz="2" w:space="0" w:color="auto"/>
            </w:tcBorders>
            <w:vAlign w:val="center"/>
          </w:tcPr>
          <w:p w14:paraId="397C39E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15,604,048.37</w:t>
            </w:r>
          </w:p>
        </w:tc>
        <w:tc>
          <w:tcPr>
            <w:tcW w:w="0" w:type="auto"/>
            <w:tcBorders>
              <w:top w:val="single" w:sz="2" w:space="0" w:color="auto"/>
              <w:left w:val="single" w:sz="2" w:space="0" w:color="auto"/>
              <w:bottom w:val="single" w:sz="2" w:space="0" w:color="auto"/>
              <w:right w:val="single" w:sz="2" w:space="0" w:color="auto"/>
            </w:tcBorders>
            <w:vAlign w:val="center"/>
          </w:tcPr>
          <w:p w14:paraId="6DC74AE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16,366,389.41</w:t>
            </w:r>
          </w:p>
        </w:tc>
        <w:tc>
          <w:tcPr>
            <w:tcW w:w="0" w:type="auto"/>
            <w:tcBorders>
              <w:top w:val="single" w:sz="2" w:space="0" w:color="auto"/>
              <w:left w:val="single" w:sz="2" w:space="0" w:color="auto"/>
              <w:bottom w:val="single" w:sz="2" w:space="0" w:color="auto"/>
              <w:right w:val="single" w:sz="2" w:space="0" w:color="auto"/>
            </w:tcBorders>
            <w:vAlign w:val="center"/>
          </w:tcPr>
          <w:p w14:paraId="1190DA4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22.95%</w:t>
            </w:r>
          </w:p>
        </w:tc>
        <w:tc>
          <w:tcPr>
            <w:tcW w:w="0" w:type="auto"/>
            <w:tcBorders>
              <w:top w:val="single" w:sz="2" w:space="0" w:color="auto"/>
              <w:left w:val="single" w:sz="2" w:space="0" w:color="auto"/>
              <w:bottom w:val="single" w:sz="2" w:space="0" w:color="auto"/>
              <w:right w:val="single" w:sz="2" w:space="0" w:color="auto"/>
            </w:tcBorders>
            <w:vAlign w:val="center"/>
          </w:tcPr>
          <w:p w14:paraId="7D13B54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11,440,683.51</w:t>
            </w:r>
          </w:p>
        </w:tc>
        <w:tc>
          <w:tcPr>
            <w:tcW w:w="0" w:type="auto"/>
            <w:tcBorders>
              <w:top w:val="single" w:sz="2" w:space="0" w:color="auto"/>
              <w:left w:val="single" w:sz="2" w:space="0" w:color="auto"/>
              <w:bottom w:val="single" w:sz="2" w:space="0" w:color="auto"/>
              <w:right w:val="single" w:sz="2" w:space="0" w:color="auto"/>
            </w:tcBorders>
            <w:vAlign w:val="center"/>
          </w:tcPr>
          <w:p w14:paraId="781E67EA"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11,357,153.44</w:t>
            </w:r>
          </w:p>
        </w:tc>
      </w:tr>
      <w:tr w:rsidR="00215F63" w:rsidRPr="0046769C" w14:paraId="3708839E"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842FDA4"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归属于上市公司股东的扣除非经常性损益的净利润</w:t>
            </w:r>
          </w:p>
        </w:tc>
        <w:tc>
          <w:tcPr>
            <w:tcW w:w="0" w:type="auto"/>
            <w:tcBorders>
              <w:top w:val="single" w:sz="2" w:space="0" w:color="auto"/>
              <w:left w:val="single" w:sz="2" w:space="0" w:color="auto"/>
              <w:bottom w:val="single" w:sz="2" w:space="0" w:color="auto"/>
              <w:right w:val="single" w:sz="2" w:space="0" w:color="auto"/>
            </w:tcBorders>
            <w:vAlign w:val="center"/>
          </w:tcPr>
          <w:p w14:paraId="7D09582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1,566,934.74</w:t>
            </w:r>
          </w:p>
        </w:tc>
        <w:tc>
          <w:tcPr>
            <w:tcW w:w="0" w:type="auto"/>
            <w:tcBorders>
              <w:top w:val="single" w:sz="2" w:space="0" w:color="auto"/>
              <w:left w:val="single" w:sz="2" w:space="0" w:color="auto"/>
              <w:bottom w:val="single" w:sz="2" w:space="0" w:color="auto"/>
              <w:right w:val="single" w:sz="2" w:space="0" w:color="auto"/>
            </w:tcBorders>
            <w:vAlign w:val="center"/>
          </w:tcPr>
          <w:p w14:paraId="6A87359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-5,376,703.46</w:t>
            </w:r>
          </w:p>
        </w:tc>
        <w:tc>
          <w:tcPr>
            <w:tcW w:w="0" w:type="auto"/>
            <w:tcBorders>
              <w:top w:val="single" w:sz="2" w:space="0" w:color="auto"/>
              <w:left w:val="single" w:sz="2" w:space="0" w:color="auto"/>
              <w:bottom w:val="single" w:sz="2" w:space="0" w:color="auto"/>
              <w:right w:val="single" w:sz="2" w:space="0" w:color="auto"/>
            </w:tcBorders>
            <w:vAlign w:val="center"/>
          </w:tcPr>
          <w:p w14:paraId="601EE97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-4,614,362.42</w:t>
            </w:r>
          </w:p>
        </w:tc>
        <w:tc>
          <w:tcPr>
            <w:tcW w:w="0" w:type="auto"/>
            <w:tcBorders>
              <w:top w:val="single" w:sz="2" w:space="0" w:color="auto"/>
              <w:left w:val="single" w:sz="2" w:space="0" w:color="auto"/>
              <w:bottom w:val="single" w:sz="2" w:space="0" w:color="auto"/>
              <w:right w:val="single" w:sz="2" w:space="0" w:color="auto"/>
            </w:tcBorders>
            <w:vAlign w:val="center"/>
          </w:tcPr>
          <w:p w14:paraId="1CEE983A"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133.96%</w:t>
            </w:r>
          </w:p>
        </w:tc>
        <w:tc>
          <w:tcPr>
            <w:tcW w:w="0" w:type="auto"/>
            <w:tcBorders>
              <w:top w:val="single" w:sz="2" w:space="0" w:color="auto"/>
              <w:left w:val="single" w:sz="2" w:space="0" w:color="auto"/>
              <w:bottom w:val="single" w:sz="2" w:space="0" w:color="auto"/>
              <w:right w:val="single" w:sz="2" w:space="0" w:color="auto"/>
            </w:tcBorders>
            <w:vAlign w:val="center"/>
          </w:tcPr>
          <w:p w14:paraId="0852AC6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-30,911,905.58</w:t>
            </w:r>
          </w:p>
        </w:tc>
        <w:tc>
          <w:tcPr>
            <w:tcW w:w="0" w:type="auto"/>
            <w:tcBorders>
              <w:top w:val="single" w:sz="2" w:space="0" w:color="auto"/>
              <w:left w:val="single" w:sz="2" w:space="0" w:color="auto"/>
              <w:bottom w:val="single" w:sz="2" w:space="0" w:color="auto"/>
              <w:right w:val="single" w:sz="2" w:space="0" w:color="auto"/>
            </w:tcBorders>
            <w:vAlign w:val="center"/>
          </w:tcPr>
          <w:p w14:paraId="66ADDD1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-30,995,435.65</w:t>
            </w:r>
          </w:p>
        </w:tc>
      </w:tr>
      <w:tr w:rsidR="00215F63" w:rsidRPr="0046769C" w14:paraId="2EC419B6"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5CAE1552"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经营活动产生的现金流量净额</w:t>
            </w:r>
          </w:p>
        </w:tc>
        <w:tc>
          <w:tcPr>
            <w:tcW w:w="0" w:type="auto"/>
            <w:tcBorders>
              <w:top w:val="single" w:sz="2" w:space="0" w:color="auto"/>
              <w:left w:val="single" w:sz="2" w:space="0" w:color="auto"/>
              <w:bottom w:val="single" w:sz="2" w:space="0" w:color="auto"/>
              <w:right w:val="single" w:sz="2" w:space="0" w:color="auto"/>
            </w:tcBorders>
            <w:vAlign w:val="center"/>
          </w:tcPr>
          <w:p w14:paraId="1D74CB3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305,227,252.29</w:t>
            </w:r>
          </w:p>
        </w:tc>
        <w:tc>
          <w:tcPr>
            <w:tcW w:w="0" w:type="auto"/>
            <w:tcBorders>
              <w:top w:val="single" w:sz="2" w:space="0" w:color="auto"/>
              <w:left w:val="single" w:sz="2" w:space="0" w:color="auto"/>
              <w:bottom w:val="single" w:sz="2" w:space="0" w:color="auto"/>
              <w:right w:val="single" w:sz="2" w:space="0" w:color="auto"/>
            </w:tcBorders>
            <w:vAlign w:val="center"/>
          </w:tcPr>
          <w:p w14:paraId="24A51AC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121,561,262.66</w:t>
            </w:r>
          </w:p>
        </w:tc>
        <w:tc>
          <w:tcPr>
            <w:tcW w:w="0" w:type="auto"/>
            <w:tcBorders>
              <w:top w:val="single" w:sz="2" w:space="0" w:color="auto"/>
              <w:left w:val="single" w:sz="2" w:space="0" w:color="auto"/>
              <w:bottom w:val="single" w:sz="2" w:space="0" w:color="auto"/>
              <w:right w:val="single" w:sz="2" w:space="0" w:color="auto"/>
            </w:tcBorders>
            <w:vAlign w:val="center"/>
          </w:tcPr>
          <w:p w14:paraId="6D0132A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121,561,262.66</w:t>
            </w:r>
          </w:p>
        </w:tc>
        <w:tc>
          <w:tcPr>
            <w:tcW w:w="0" w:type="auto"/>
            <w:tcBorders>
              <w:top w:val="single" w:sz="2" w:space="0" w:color="auto"/>
              <w:left w:val="single" w:sz="2" w:space="0" w:color="auto"/>
              <w:bottom w:val="single" w:sz="2" w:space="0" w:color="auto"/>
              <w:right w:val="single" w:sz="2" w:space="0" w:color="auto"/>
            </w:tcBorders>
            <w:vAlign w:val="center"/>
          </w:tcPr>
          <w:p w14:paraId="62016C9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151.09%</w:t>
            </w:r>
          </w:p>
        </w:tc>
        <w:tc>
          <w:tcPr>
            <w:tcW w:w="0" w:type="auto"/>
            <w:tcBorders>
              <w:top w:val="single" w:sz="2" w:space="0" w:color="auto"/>
              <w:left w:val="single" w:sz="2" w:space="0" w:color="auto"/>
              <w:bottom w:val="single" w:sz="2" w:space="0" w:color="auto"/>
              <w:right w:val="single" w:sz="2" w:space="0" w:color="auto"/>
            </w:tcBorders>
            <w:vAlign w:val="center"/>
          </w:tcPr>
          <w:p w14:paraId="6BAFA59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160,585,790.94</w:t>
            </w:r>
          </w:p>
        </w:tc>
        <w:tc>
          <w:tcPr>
            <w:tcW w:w="0" w:type="auto"/>
            <w:tcBorders>
              <w:top w:val="single" w:sz="2" w:space="0" w:color="auto"/>
              <w:left w:val="single" w:sz="2" w:space="0" w:color="auto"/>
              <w:bottom w:val="single" w:sz="2" w:space="0" w:color="auto"/>
              <w:right w:val="single" w:sz="2" w:space="0" w:color="auto"/>
            </w:tcBorders>
            <w:vAlign w:val="center"/>
          </w:tcPr>
          <w:p w14:paraId="4C7139D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160,585,790.94</w:t>
            </w:r>
          </w:p>
        </w:tc>
      </w:tr>
      <w:tr w:rsidR="00215F63" w:rsidRPr="0046769C" w14:paraId="50D195E9"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341B2E97"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基本每股收益（元</w:t>
            </w:r>
            <w:r w:rsidRPr="0046769C">
              <w:rPr>
                <w:rFonts w:ascii="Times New Roman" w:eastAsia="宋体" w:hAnsi="Times New Roman" w:cs="宋体"/>
                <w:sz w:val="18"/>
                <w:szCs w:val="18"/>
              </w:rPr>
              <w:t>/</w:t>
            </w:r>
            <w:r w:rsidRPr="0046769C">
              <w:rPr>
                <w:rFonts w:ascii="Times New Roman" w:eastAsia="宋体" w:hAnsi="Times New Roman" w:cs="宋体"/>
                <w:sz w:val="18"/>
                <w:szCs w:val="18"/>
              </w:rPr>
              <w:t>股）</w:t>
            </w:r>
          </w:p>
        </w:tc>
        <w:tc>
          <w:tcPr>
            <w:tcW w:w="0" w:type="auto"/>
            <w:tcBorders>
              <w:top w:val="single" w:sz="2" w:space="0" w:color="auto"/>
              <w:left w:val="single" w:sz="2" w:space="0" w:color="auto"/>
              <w:bottom w:val="single" w:sz="2" w:space="0" w:color="auto"/>
              <w:right w:val="single" w:sz="2" w:space="0" w:color="auto"/>
            </w:tcBorders>
            <w:vAlign w:val="center"/>
          </w:tcPr>
          <w:p w14:paraId="11D717A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0.0571</w:t>
            </w:r>
          </w:p>
        </w:tc>
        <w:tc>
          <w:tcPr>
            <w:tcW w:w="0" w:type="auto"/>
            <w:tcBorders>
              <w:top w:val="single" w:sz="2" w:space="0" w:color="auto"/>
              <w:left w:val="single" w:sz="2" w:space="0" w:color="auto"/>
              <w:bottom w:val="single" w:sz="2" w:space="0" w:color="auto"/>
              <w:right w:val="single" w:sz="2" w:space="0" w:color="auto"/>
            </w:tcBorders>
            <w:vAlign w:val="center"/>
          </w:tcPr>
          <w:p w14:paraId="03B3D98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0.0442</w:t>
            </w:r>
          </w:p>
        </w:tc>
        <w:tc>
          <w:tcPr>
            <w:tcW w:w="0" w:type="auto"/>
            <w:tcBorders>
              <w:top w:val="single" w:sz="2" w:space="0" w:color="auto"/>
              <w:left w:val="single" w:sz="2" w:space="0" w:color="auto"/>
              <w:bottom w:val="single" w:sz="2" w:space="0" w:color="auto"/>
              <w:right w:val="single" w:sz="2" w:space="0" w:color="auto"/>
            </w:tcBorders>
            <w:vAlign w:val="center"/>
          </w:tcPr>
          <w:p w14:paraId="25AD0B2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0.0464</w:t>
            </w:r>
          </w:p>
        </w:tc>
        <w:tc>
          <w:tcPr>
            <w:tcW w:w="0" w:type="auto"/>
            <w:tcBorders>
              <w:top w:val="single" w:sz="2" w:space="0" w:color="auto"/>
              <w:left w:val="single" w:sz="2" w:space="0" w:color="auto"/>
              <w:bottom w:val="single" w:sz="2" w:space="0" w:color="auto"/>
              <w:right w:val="single" w:sz="2" w:space="0" w:color="auto"/>
            </w:tcBorders>
            <w:vAlign w:val="center"/>
          </w:tcPr>
          <w:p w14:paraId="7A919B5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23.06%</w:t>
            </w:r>
          </w:p>
        </w:tc>
        <w:tc>
          <w:tcPr>
            <w:tcW w:w="0" w:type="auto"/>
            <w:tcBorders>
              <w:top w:val="single" w:sz="2" w:space="0" w:color="auto"/>
              <w:left w:val="single" w:sz="2" w:space="0" w:color="auto"/>
              <w:bottom w:val="single" w:sz="2" w:space="0" w:color="auto"/>
              <w:right w:val="single" w:sz="2" w:space="0" w:color="auto"/>
            </w:tcBorders>
            <w:vAlign w:val="center"/>
          </w:tcPr>
          <w:p w14:paraId="3F01B0C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0.0324</w:t>
            </w:r>
          </w:p>
        </w:tc>
        <w:tc>
          <w:tcPr>
            <w:tcW w:w="0" w:type="auto"/>
            <w:tcBorders>
              <w:top w:val="single" w:sz="2" w:space="0" w:color="auto"/>
              <w:left w:val="single" w:sz="2" w:space="0" w:color="auto"/>
              <w:bottom w:val="single" w:sz="2" w:space="0" w:color="auto"/>
              <w:right w:val="single" w:sz="2" w:space="0" w:color="auto"/>
            </w:tcBorders>
            <w:vAlign w:val="center"/>
          </w:tcPr>
          <w:p w14:paraId="3EE7771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0.0322</w:t>
            </w:r>
          </w:p>
        </w:tc>
      </w:tr>
      <w:tr w:rsidR="00215F63" w:rsidRPr="0046769C" w14:paraId="1F5C05CC"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1370E796"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稀释每股收益（元</w:t>
            </w:r>
            <w:r w:rsidRPr="0046769C">
              <w:rPr>
                <w:rFonts w:ascii="Times New Roman" w:eastAsia="宋体" w:hAnsi="Times New Roman" w:cs="宋体"/>
                <w:sz w:val="18"/>
                <w:szCs w:val="18"/>
              </w:rPr>
              <w:t>/</w:t>
            </w:r>
            <w:r w:rsidRPr="0046769C">
              <w:rPr>
                <w:rFonts w:ascii="Times New Roman" w:eastAsia="宋体" w:hAnsi="Times New Roman" w:cs="宋体"/>
                <w:sz w:val="18"/>
                <w:szCs w:val="18"/>
              </w:rPr>
              <w:t>股）</w:t>
            </w:r>
          </w:p>
        </w:tc>
        <w:tc>
          <w:tcPr>
            <w:tcW w:w="0" w:type="auto"/>
            <w:tcBorders>
              <w:top w:val="single" w:sz="2" w:space="0" w:color="auto"/>
              <w:left w:val="single" w:sz="2" w:space="0" w:color="auto"/>
              <w:bottom w:val="single" w:sz="2" w:space="0" w:color="auto"/>
              <w:right w:val="single" w:sz="2" w:space="0" w:color="auto"/>
            </w:tcBorders>
            <w:vAlign w:val="center"/>
          </w:tcPr>
          <w:p w14:paraId="6D71141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0.0571</w:t>
            </w:r>
          </w:p>
        </w:tc>
        <w:tc>
          <w:tcPr>
            <w:tcW w:w="0" w:type="auto"/>
            <w:tcBorders>
              <w:top w:val="single" w:sz="2" w:space="0" w:color="auto"/>
              <w:left w:val="single" w:sz="2" w:space="0" w:color="auto"/>
              <w:bottom w:val="single" w:sz="2" w:space="0" w:color="auto"/>
              <w:right w:val="single" w:sz="2" w:space="0" w:color="auto"/>
            </w:tcBorders>
            <w:vAlign w:val="center"/>
          </w:tcPr>
          <w:p w14:paraId="261CDC2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0.0442</w:t>
            </w:r>
          </w:p>
        </w:tc>
        <w:tc>
          <w:tcPr>
            <w:tcW w:w="0" w:type="auto"/>
            <w:tcBorders>
              <w:top w:val="single" w:sz="2" w:space="0" w:color="auto"/>
              <w:left w:val="single" w:sz="2" w:space="0" w:color="auto"/>
              <w:bottom w:val="single" w:sz="2" w:space="0" w:color="auto"/>
              <w:right w:val="single" w:sz="2" w:space="0" w:color="auto"/>
            </w:tcBorders>
            <w:vAlign w:val="center"/>
          </w:tcPr>
          <w:p w14:paraId="3C375CC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0.0464</w:t>
            </w:r>
          </w:p>
        </w:tc>
        <w:tc>
          <w:tcPr>
            <w:tcW w:w="0" w:type="auto"/>
            <w:tcBorders>
              <w:top w:val="single" w:sz="2" w:space="0" w:color="auto"/>
              <w:left w:val="single" w:sz="2" w:space="0" w:color="auto"/>
              <w:bottom w:val="single" w:sz="2" w:space="0" w:color="auto"/>
              <w:right w:val="single" w:sz="2" w:space="0" w:color="auto"/>
            </w:tcBorders>
            <w:vAlign w:val="center"/>
          </w:tcPr>
          <w:p w14:paraId="32EEFB2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23.06%</w:t>
            </w:r>
          </w:p>
        </w:tc>
        <w:tc>
          <w:tcPr>
            <w:tcW w:w="0" w:type="auto"/>
            <w:tcBorders>
              <w:top w:val="single" w:sz="2" w:space="0" w:color="auto"/>
              <w:left w:val="single" w:sz="2" w:space="0" w:color="auto"/>
              <w:bottom w:val="single" w:sz="2" w:space="0" w:color="auto"/>
              <w:right w:val="single" w:sz="2" w:space="0" w:color="auto"/>
            </w:tcBorders>
            <w:vAlign w:val="center"/>
          </w:tcPr>
          <w:p w14:paraId="1525341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0.0324</w:t>
            </w:r>
          </w:p>
        </w:tc>
        <w:tc>
          <w:tcPr>
            <w:tcW w:w="0" w:type="auto"/>
            <w:tcBorders>
              <w:top w:val="single" w:sz="2" w:space="0" w:color="auto"/>
              <w:left w:val="single" w:sz="2" w:space="0" w:color="auto"/>
              <w:bottom w:val="single" w:sz="2" w:space="0" w:color="auto"/>
              <w:right w:val="single" w:sz="2" w:space="0" w:color="auto"/>
            </w:tcBorders>
            <w:vAlign w:val="center"/>
          </w:tcPr>
          <w:p w14:paraId="4F4B85E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0.0322</w:t>
            </w:r>
          </w:p>
        </w:tc>
      </w:tr>
      <w:tr w:rsidR="00215F63" w:rsidRPr="0046769C" w14:paraId="1D4F58B0" w14:textId="77777777" w:rsidTr="00217AA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14:paraId="28571CA8"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加权平均净资产收益率</w:t>
            </w:r>
          </w:p>
        </w:tc>
        <w:tc>
          <w:tcPr>
            <w:tcW w:w="0" w:type="auto"/>
            <w:tcBorders>
              <w:top w:val="single" w:sz="2" w:space="0" w:color="auto"/>
              <w:left w:val="single" w:sz="2" w:space="0" w:color="auto"/>
              <w:bottom w:val="single" w:sz="2" w:space="0" w:color="auto"/>
              <w:right w:val="single" w:sz="2" w:space="0" w:color="auto"/>
            </w:tcBorders>
            <w:vAlign w:val="center"/>
          </w:tcPr>
          <w:p w14:paraId="30F31FB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0.95%</w:t>
            </w:r>
          </w:p>
        </w:tc>
        <w:tc>
          <w:tcPr>
            <w:tcW w:w="0" w:type="auto"/>
            <w:tcBorders>
              <w:top w:val="single" w:sz="2" w:space="0" w:color="auto"/>
              <w:left w:val="single" w:sz="2" w:space="0" w:color="auto"/>
              <w:bottom w:val="single" w:sz="2" w:space="0" w:color="auto"/>
              <w:right w:val="single" w:sz="2" w:space="0" w:color="auto"/>
            </w:tcBorders>
            <w:vAlign w:val="center"/>
          </w:tcPr>
          <w:p w14:paraId="7A1387CA"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0.74%</w:t>
            </w:r>
          </w:p>
        </w:tc>
        <w:tc>
          <w:tcPr>
            <w:tcW w:w="0" w:type="auto"/>
            <w:tcBorders>
              <w:top w:val="single" w:sz="2" w:space="0" w:color="auto"/>
              <w:left w:val="single" w:sz="2" w:space="0" w:color="auto"/>
              <w:bottom w:val="single" w:sz="2" w:space="0" w:color="auto"/>
              <w:right w:val="single" w:sz="2" w:space="0" w:color="auto"/>
            </w:tcBorders>
            <w:vAlign w:val="center"/>
          </w:tcPr>
          <w:p w14:paraId="5A4D3CF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0.78%</w:t>
            </w:r>
          </w:p>
        </w:tc>
        <w:tc>
          <w:tcPr>
            <w:tcW w:w="0" w:type="auto"/>
            <w:tcBorders>
              <w:top w:val="single" w:sz="2" w:space="0" w:color="auto"/>
              <w:left w:val="single" w:sz="2" w:space="0" w:color="auto"/>
              <w:bottom w:val="single" w:sz="2" w:space="0" w:color="auto"/>
              <w:right w:val="single" w:sz="2" w:space="0" w:color="auto"/>
            </w:tcBorders>
            <w:vAlign w:val="center"/>
          </w:tcPr>
          <w:p w14:paraId="60283E1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0.17%</w:t>
            </w:r>
          </w:p>
        </w:tc>
        <w:tc>
          <w:tcPr>
            <w:tcW w:w="0" w:type="auto"/>
            <w:tcBorders>
              <w:top w:val="single" w:sz="2" w:space="0" w:color="auto"/>
              <w:left w:val="single" w:sz="2" w:space="0" w:color="auto"/>
              <w:bottom w:val="single" w:sz="2" w:space="0" w:color="auto"/>
              <w:right w:val="single" w:sz="2" w:space="0" w:color="auto"/>
            </w:tcBorders>
            <w:vAlign w:val="center"/>
          </w:tcPr>
          <w:p w14:paraId="02E4112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0.57%</w:t>
            </w:r>
          </w:p>
        </w:tc>
        <w:tc>
          <w:tcPr>
            <w:tcW w:w="0" w:type="auto"/>
            <w:tcBorders>
              <w:top w:val="single" w:sz="2" w:space="0" w:color="auto"/>
              <w:left w:val="single" w:sz="2" w:space="0" w:color="auto"/>
              <w:bottom w:val="single" w:sz="2" w:space="0" w:color="auto"/>
              <w:right w:val="single" w:sz="2" w:space="0" w:color="auto"/>
            </w:tcBorders>
            <w:vAlign w:val="center"/>
          </w:tcPr>
          <w:p w14:paraId="0273534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0.54%</w:t>
            </w:r>
          </w:p>
        </w:tc>
      </w:tr>
    </w:tbl>
    <w:p w14:paraId="080A2CC1"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会计政策变更的原因及会计差错更正的情况</w:t>
      </w:r>
    </w:p>
    <w:p w14:paraId="1BEC3D4F" w14:textId="77777777" w:rsidR="00AC15AF" w:rsidRDefault="007A75D0" w:rsidP="00AC15AF">
      <w:pPr>
        <w:pStyle w:val="a3"/>
        <w:spacing w:before="0" w:beforeAutospacing="0" w:after="0" w:afterAutospacing="0"/>
        <w:ind w:firstLineChars="200" w:firstLine="360"/>
        <w:divId w:val="2010061503"/>
        <w:rPr>
          <w:rFonts w:ascii="Times New Roman" w:hAnsi="Times New Roman"/>
          <w:sz w:val="18"/>
          <w:szCs w:val="18"/>
        </w:rPr>
      </w:pPr>
      <w:r w:rsidRPr="0046769C">
        <w:rPr>
          <w:rFonts w:ascii="Times New Roman" w:hAnsi="Times New Roman" w:hint="eastAsia"/>
          <w:sz w:val="18"/>
          <w:szCs w:val="18"/>
        </w:rPr>
        <w:t>财政部于</w:t>
      </w:r>
      <w:r w:rsidRPr="0046769C">
        <w:rPr>
          <w:rFonts w:ascii="Times New Roman" w:hAnsi="Times New Roman" w:hint="eastAsia"/>
          <w:sz w:val="18"/>
          <w:szCs w:val="18"/>
        </w:rPr>
        <w:t>2022</w:t>
      </w:r>
      <w:r w:rsidRPr="0046769C">
        <w:rPr>
          <w:rFonts w:ascii="Times New Roman" w:hAnsi="Times New Roman" w:hint="eastAsia"/>
          <w:sz w:val="18"/>
          <w:szCs w:val="18"/>
        </w:rPr>
        <w:t>年</w:t>
      </w:r>
      <w:r w:rsidRPr="0046769C">
        <w:rPr>
          <w:rFonts w:ascii="Times New Roman" w:hAnsi="Times New Roman" w:hint="eastAsia"/>
          <w:sz w:val="18"/>
          <w:szCs w:val="18"/>
        </w:rPr>
        <w:t>11</w:t>
      </w:r>
      <w:r w:rsidRPr="0046769C">
        <w:rPr>
          <w:rFonts w:ascii="Times New Roman" w:hAnsi="Times New Roman" w:hint="eastAsia"/>
          <w:sz w:val="18"/>
          <w:szCs w:val="18"/>
        </w:rPr>
        <w:t>月</w:t>
      </w:r>
      <w:r w:rsidRPr="0046769C">
        <w:rPr>
          <w:rFonts w:ascii="Times New Roman" w:hAnsi="Times New Roman" w:hint="eastAsia"/>
          <w:sz w:val="18"/>
          <w:szCs w:val="18"/>
        </w:rPr>
        <w:t>30</w:t>
      </w:r>
      <w:r w:rsidRPr="0046769C">
        <w:rPr>
          <w:rFonts w:ascii="Times New Roman" w:hAnsi="Times New Roman" w:hint="eastAsia"/>
          <w:sz w:val="18"/>
          <w:szCs w:val="18"/>
        </w:rPr>
        <w:t>日发布实施《企业会计准则解释第</w:t>
      </w:r>
      <w:r w:rsidRPr="0046769C">
        <w:rPr>
          <w:rFonts w:ascii="Times New Roman" w:hAnsi="Times New Roman" w:hint="eastAsia"/>
          <w:sz w:val="18"/>
          <w:szCs w:val="18"/>
        </w:rPr>
        <w:t>16</w:t>
      </w:r>
      <w:r w:rsidRPr="0046769C">
        <w:rPr>
          <w:rFonts w:ascii="Times New Roman" w:hAnsi="Times New Roman" w:hint="eastAsia"/>
          <w:sz w:val="18"/>
          <w:szCs w:val="18"/>
        </w:rPr>
        <w:t>号》，其中“关于单项交易产生的资产和负债相关的递延所得税不适用初始确认豁免的会计处理”规定，自</w:t>
      </w:r>
      <w:r w:rsidRPr="0046769C">
        <w:rPr>
          <w:rFonts w:ascii="Times New Roman" w:hAnsi="Times New Roman" w:hint="eastAsia"/>
          <w:sz w:val="18"/>
          <w:szCs w:val="18"/>
        </w:rPr>
        <w:t>2023</w:t>
      </w:r>
      <w:r w:rsidRPr="0046769C">
        <w:rPr>
          <w:rFonts w:ascii="Times New Roman" w:hAnsi="Times New Roman" w:hint="eastAsia"/>
          <w:sz w:val="18"/>
          <w:szCs w:val="18"/>
        </w:rPr>
        <w:t>年</w:t>
      </w:r>
      <w:r w:rsidRPr="0046769C">
        <w:rPr>
          <w:rFonts w:ascii="Times New Roman" w:hAnsi="Times New Roman" w:hint="eastAsia"/>
          <w:sz w:val="18"/>
          <w:szCs w:val="18"/>
        </w:rPr>
        <w:t>1</w:t>
      </w:r>
      <w:r w:rsidRPr="0046769C">
        <w:rPr>
          <w:rFonts w:ascii="Times New Roman" w:hAnsi="Times New Roman" w:hint="eastAsia"/>
          <w:sz w:val="18"/>
          <w:szCs w:val="18"/>
        </w:rPr>
        <w:t>月</w:t>
      </w:r>
      <w:r w:rsidRPr="0046769C">
        <w:rPr>
          <w:rFonts w:ascii="Times New Roman" w:hAnsi="Times New Roman" w:hint="eastAsia"/>
          <w:sz w:val="18"/>
          <w:szCs w:val="18"/>
        </w:rPr>
        <w:t>1</w:t>
      </w:r>
      <w:r w:rsidRPr="0046769C">
        <w:rPr>
          <w:rFonts w:ascii="Times New Roman" w:hAnsi="Times New Roman" w:hint="eastAsia"/>
          <w:sz w:val="18"/>
          <w:szCs w:val="18"/>
        </w:rPr>
        <w:t>日起施行。对于在首次执行该规定的财务报表列报最早期间的期初因适用该规定的单项交易而确认的租赁负债和使用权资产，以及确认的弃置义务相关预计负债和对应的相关资产，产生应纳税暂时性差异和可抵扣暂时性差异的，本公司按照该规定和《企业会计准则第</w:t>
      </w:r>
      <w:r w:rsidRPr="0046769C">
        <w:rPr>
          <w:rFonts w:ascii="Times New Roman" w:hAnsi="Times New Roman" w:hint="eastAsia"/>
          <w:sz w:val="18"/>
          <w:szCs w:val="18"/>
        </w:rPr>
        <w:t>18</w:t>
      </w:r>
      <w:r w:rsidRPr="0046769C">
        <w:rPr>
          <w:rFonts w:ascii="Times New Roman" w:hAnsi="Times New Roman" w:hint="eastAsia"/>
          <w:sz w:val="18"/>
          <w:szCs w:val="18"/>
        </w:rPr>
        <w:t>号——所得税》的规定，将累计影响数调整财务报表列报最早期间的期初留存收益及其他相关财务报表项目。</w:t>
      </w:r>
    </w:p>
    <w:p w14:paraId="4FBBE5DA" w14:textId="1958A85D" w:rsidR="006467B6" w:rsidRPr="0046769C" w:rsidRDefault="007A75D0" w:rsidP="00AC15AF">
      <w:pPr>
        <w:pStyle w:val="a3"/>
        <w:spacing w:before="0" w:beforeAutospacing="0" w:after="0" w:afterAutospacing="0"/>
        <w:ind w:firstLineChars="200" w:firstLine="360"/>
        <w:divId w:val="2010061503"/>
        <w:rPr>
          <w:rFonts w:ascii="Times New Roman" w:hAnsi="Times New Roman"/>
          <w:sz w:val="18"/>
          <w:szCs w:val="18"/>
        </w:rPr>
      </w:pPr>
      <w:r w:rsidRPr="0046769C">
        <w:rPr>
          <w:rFonts w:ascii="Times New Roman" w:hAnsi="Times New Roman" w:hint="eastAsia"/>
          <w:sz w:val="18"/>
          <w:szCs w:val="18"/>
        </w:rPr>
        <w:t>追溯调整数据见</w:t>
      </w:r>
      <w:r w:rsidR="00CD54CA">
        <w:rPr>
          <w:rFonts w:ascii="Times New Roman" w:hAnsi="Times New Roman" w:hint="eastAsia"/>
          <w:sz w:val="18"/>
          <w:szCs w:val="18"/>
        </w:rPr>
        <w:t>《</w:t>
      </w:r>
      <w:r w:rsidR="00CD54CA">
        <w:rPr>
          <w:rFonts w:ascii="Times New Roman" w:hAnsi="Times New Roman" w:hint="eastAsia"/>
          <w:sz w:val="18"/>
          <w:szCs w:val="18"/>
        </w:rPr>
        <w:t>2</w:t>
      </w:r>
      <w:r w:rsidR="00CD54CA">
        <w:rPr>
          <w:rFonts w:ascii="Times New Roman" w:hAnsi="Times New Roman"/>
          <w:sz w:val="18"/>
          <w:szCs w:val="18"/>
        </w:rPr>
        <w:t>023</w:t>
      </w:r>
      <w:r w:rsidR="00CD54CA">
        <w:rPr>
          <w:rFonts w:ascii="Times New Roman" w:hAnsi="Times New Roman"/>
          <w:sz w:val="18"/>
          <w:szCs w:val="18"/>
        </w:rPr>
        <w:t>年年度报告</w:t>
      </w:r>
      <w:bookmarkStart w:id="6" w:name="_GoBack"/>
      <w:bookmarkEnd w:id="6"/>
      <w:r w:rsidR="00CD54CA">
        <w:rPr>
          <w:rFonts w:ascii="Times New Roman" w:hAnsi="Times New Roman" w:hint="eastAsia"/>
          <w:sz w:val="18"/>
          <w:szCs w:val="18"/>
        </w:rPr>
        <w:t>》</w:t>
      </w:r>
      <w:r w:rsidRPr="0046769C">
        <w:rPr>
          <w:rFonts w:ascii="Times New Roman" w:hAnsi="Times New Roman" w:hint="eastAsia"/>
          <w:sz w:val="18"/>
          <w:szCs w:val="18"/>
        </w:rPr>
        <w:t>第十节中的“重要会计政策变更”。</w:t>
      </w:r>
    </w:p>
    <w:p w14:paraId="766DB608" w14:textId="77777777" w:rsidR="00215F63" w:rsidRPr="0046769C" w:rsidRDefault="007A75D0">
      <w:pPr>
        <w:keepNext/>
        <w:keepLines/>
        <w:spacing w:before="300" w:after="300" w:line="280" w:lineRule="exact"/>
        <w:outlineLvl w:val="3"/>
        <w:rPr>
          <w:rFonts w:ascii="Times New Roman" w:eastAsia="宋体" w:hAnsi="Times New Roman" w:cs="宋体"/>
          <w:b/>
          <w:bCs/>
          <w:sz w:val="18"/>
          <w:szCs w:val="18"/>
        </w:rPr>
      </w:pPr>
      <w:bookmarkStart w:id="7" w:name="_Toc988895"/>
      <w:r w:rsidRPr="0046769C">
        <w:rPr>
          <w:rFonts w:ascii="Times New Roman" w:eastAsia="宋体" w:hAnsi="Times New Roman" w:cs="宋体"/>
          <w:b/>
          <w:bCs/>
          <w:sz w:val="18"/>
          <w:szCs w:val="18"/>
        </w:rPr>
        <w:lastRenderedPageBreak/>
        <w:t>（</w:t>
      </w:r>
      <w:r w:rsidRPr="0046769C">
        <w:rPr>
          <w:rFonts w:ascii="Times New Roman" w:eastAsia="宋体" w:hAnsi="Times New Roman" w:cs="宋体"/>
          <w:b/>
          <w:bCs/>
          <w:sz w:val="18"/>
          <w:szCs w:val="18"/>
        </w:rPr>
        <w:t>2</w:t>
      </w:r>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 xml:space="preserve"> </w:t>
      </w:r>
      <w:r w:rsidRPr="0046769C">
        <w:rPr>
          <w:rFonts w:ascii="Times New Roman" w:eastAsia="宋体" w:hAnsi="Times New Roman" w:cs="宋体"/>
          <w:b/>
          <w:bCs/>
          <w:sz w:val="18"/>
          <w:szCs w:val="18"/>
        </w:rPr>
        <w:t>分季度主要会计数据</w:t>
      </w:r>
      <w:bookmarkEnd w:id="7"/>
    </w:p>
    <w:p w14:paraId="69ED48F0" w14:textId="77777777" w:rsidR="00215F63" w:rsidRPr="0046769C" w:rsidRDefault="007A75D0">
      <w:pPr>
        <w:spacing w:before="120" w:after="120"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215F63" w:rsidRPr="0046769C" w14:paraId="726968F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F141F17" w14:textId="77777777" w:rsidR="00215F63" w:rsidRPr="0046769C" w:rsidRDefault="00215F63">
            <w:pPr>
              <w:rPr>
                <w:rFonts w:ascii="Times New Roman" w:eastAsia="宋体" w:hAnsi="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1F99184"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6E505ED3"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1C52B7BF"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2C5FCDDD"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第四季度</w:t>
            </w:r>
          </w:p>
        </w:tc>
      </w:tr>
      <w:tr w:rsidR="00215F63" w:rsidRPr="0046769C" w14:paraId="68741AE7"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50EC5865"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14:paraId="1607E8F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569,260,842.83</w:t>
            </w:r>
          </w:p>
        </w:tc>
        <w:tc>
          <w:tcPr>
            <w:tcW w:w="1928" w:type="dxa"/>
            <w:tcBorders>
              <w:top w:val="single" w:sz="2" w:space="0" w:color="auto"/>
              <w:left w:val="single" w:sz="2" w:space="0" w:color="auto"/>
              <w:bottom w:val="single" w:sz="2" w:space="0" w:color="auto"/>
              <w:right w:val="single" w:sz="2" w:space="0" w:color="auto"/>
            </w:tcBorders>
            <w:vAlign w:val="center"/>
          </w:tcPr>
          <w:p w14:paraId="48822AF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315,124,602.90</w:t>
            </w:r>
          </w:p>
        </w:tc>
        <w:tc>
          <w:tcPr>
            <w:tcW w:w="1928" w:type="dxa"/>
            <w:tcBorders>
              <w:top w:val="single" w:sz="2" w:space="0" w:color="auto"/>
              <w:left w:val="single" w:sz="2" w:space="0" w:color="auto"/>
              <w:bottom w:val="single" w:sz="2" w:space="0" w:color="auto"/>
              <w:right w:val="single" w:sz="2" w:space="0" w:color="auto"/>
            </w:tcBorders>
            <w:vAlign w:val="center"/>
          </w:tcPr>
          <w:p w14:paraId="44B8407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305,859,038.28</w:t>
            </w:r>
          </w:p>
        </w:tc>
        <w:tc>
          <w:tcPr>
            <w:tcW w:w="1928" w:type="dxa"/>
            <w:tcBorders>
              <w:top w:val="single" w:sz="2" w:space="0" w:color="auto"/>
              <w:left w:val="single" w:sz="2" w:space="0" w:color="auto"/>
              <w:bottom w:val="single" w:sz="2" w:space="0" w:color="auto"/>
              <w:right w:val="single" w:sz="2" w:space="0" w:color="auto"/>
            </w:tcBorders>
            <w:vAlign w:val="center"/>
          </w:tcPr>
          <w:p w14:paraId="6B8F030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654,515,659.75</w:t>
            </w:r>
          </w:p>
        </w:tc>
      </w:tr>
      <w:tr w:rsidR="00215F63" w:rsidRPr="0046769C" w14:paraId="0F4C2653"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4938F765"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14:paraId="2977B19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13,668,949.57</w:t>
            </w:r>
          </w:p>
        </w:tc>
        <w:tc>
          <w:tcPr>
            <w:tcW w:w="1928" w:type="dxa"/>
            <w:tcBorders>
              <w:top w:val="single" w:sz="2" w:space="0" w:color="auto"/>
              <w:left w:val="single" w:sz="2" w:space="0" w:color="auto"/>
              <w:bottom w:val="single" w:sz="2" w:space="0" w:color="auto"/>
              <w:right w:val="single" w:sz="2" w:space="0" w:color="auto"/>
            </w:tcBorders>
            <w:vAlign w:val="center"/>
          </w:tcPr>
          <w:p w14:paraId="6FE5984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-1,655,028.96</w:t>
            </w:r>
          </w:p>
        </w:tc>
        <w:tc>
          <w:tcPr>
            <w:tcW w:w="1928" w:type="dxa"/>
            <w:tcBorders>
              <w:top w:val="single" w:sz="2" w:space="0" w:color="auto"/>
              <w:left w:val="single" w:sz="2" w:space="0" w:color="auto"/>
              <w:bottom w:val="single" w:sz="2" w:space="0" w:color="auto"/>
              <w:right w:val="single" w:sz="2" w:space="0" w:color="auto"/>
            </w:tcBorders>
            <w:vAlign w:val="center"/>
          </w:tcPr>
          <w:p w14:paraId="5610614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-1,980,257.81</w:t>
            </w:r>
          </w:p>
        </w:tc>
        <w:tc>
          <w:tcPr>
            <w:tcW w:w="1928" w:type="dxa"/>
            <w:tcBorders>
              <w:top w:val="single" w:sz="2" w:space="0" w:color="auto"/>
              <w:left w:val="single" w:sz="2" w:space="0" w:color="auto"/>
              <w:bottom w:val="single" w:sz="2" w:space="0" w:color="auto"/>
              <w:right w:val="single" w:sz="2" w:space="0" w:color="auto"/>
            </w:tcBorders>
            <w:vAlign w:val="center"/>
          </w:tcPr>
          <w:p w14:paraId="4D71516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10,088,125.09</w:t>
            </w:r>
          </w:p>
        </w:tc>
      </w:tr>
      <w:tr w:rsidR="00215F63" w:rsidRPr="0046769C" w14:paraId="2FFA8BFB"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7766EC15"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14:paraId="427BC8B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7,600,142.88</w:t>
            </w:r>
          </w:p>
        </w:tc>
        <w:tc>
          <w:tcPr>
            <w:tcW w:w="1928" w:type="dxa"/>
            <w:tcBorders>
              <w:top w:val="single" w:sz="2" w:space="0" w:color="auto"/>
              <w:left w:val="single" w:sz="2" w:space="0" w:color="auto"/>
              <w:bottom w:val="single" w:sz="2" w:space="0" w:color="auto"/>
              <w:right w:val="single" w:sz="2" w:space="0" w:color="auto"/>
            </w:tcBorders>
            <w:vAlign w:val="center"/>
          </w:tcPr>
          <w:p w14:paraId="21D0856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651,185.14</w:t>
            </w:r>
          </w:p>
        </w:tc>
        <w:tc>
          <w:tcPr>
            <w:tcW w:w="1928" w:type="dxa"/>
            <w:tcBorders>
              <w:top w:val="single" w:sz="2" w:space="0" w:color="auto"/>
              <w:left w:val="single" w:sz="2" w:space="0" w:color="auto"/>
              <w:bottom w:val="single" w:sz="2" w:space="0" w:color="auto"/>
              <w:right w:val="single" w:sz="2" w:space="0" w:color="auto"/>
            </w:tcBorders>
            <w:vAlign w:val="center"/>
          </w:tcPr>
          <w:p w14:paraId="57998CB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-6,520,274.74</w:t>
            </w:r>
          </w:p>
        </w:tc>
        <w:tc>
          <w:tcPr>
            <w:tcW w:w="1928" w:type="dxa"/>
            <w:tcBorders>
              <w:top w:val="single" w:sz="2" w:space="0" w:color="auto"/>
              <w:left w:val="single" w:sz="2" w:space="0" w:color="auto"/>
              <w:bottom w:val="single" w:sz="2" w:space="0" w:color="auto"/>
              <w:right w:val="single" w:sz="2" w:space="0" w:color="auto"/>
            </w:tcBorders>
            <w:vAlign w:val="center"/>
          </w:tcPr>
          <w:p w14:paraId="38B918D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-164,118.54</w:t>
            </w:r>
          </w:p>
        </w:tc>
      </w:tr>
      <w:tr w:rsidR="00215F63" w:rsidRPr="0046769C" w14:paraId="4616A124" w14:textId="77777777">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14:paraId="39D8E58A"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14:paraId="50EAB24D"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26,331,861.10</w:t>
            </w:r>
          </w:p>
        </w:tc>
        <w:tc>
          <w:tcPr>
            <w:tcW w:w="1928" w:type="dxa"/>
            <w:tcBorders>
              <w:top w:val="single" w:sz="2" w:space="0" w:color="auto"/>
              <w:left w:val="single" w:sz="2" w:space="0" w:color="auto"/>
              <w:bottom w:val="single" w:sz="2" w:space="0" w:color="auto"/>
              <w:right w:val="single" w:sz="2" w:space="0" w:color="auto"/>
            </w:tcBorders>
            <w:vAlign w:val="center"/>
          </w:tcPr>
          <w:p w14:paraId="56C725A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-10,135,704.37</w:t>
            </w:r>
          </w:p>
        </w:tc>
        <w:tc>
          <w:tcPr>
            <w:tcW w:w="1928" w:type="dxa"/>
            <w:tcBorders>
              <w:top w:val="single" w:sz="2" w:space="0" w:color="auto"/>
              <w:left w:val="single" w:sz="2" w:space="0" w:color="auto"/>
              <w:bottom w:val="single" w:sz="2" w:space="0" w:color="auto"/>
              <w:right w:val="single" w:sz="2" w:space="0" w:color="auto"/>
            </w:tcBorders>
            <w:vAlign w:val="center"/>
          </w:tcPr>
          <w:p w14:paraId="30FBCD1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7,606,358.21</w:t>
            </w:r>
          </w:p>
        </w:tc>
        <w:tc>
          <w:tcPr>
            <w:tcW w:w="1928" w:type="dxa"/>
            <w:tcBorders>
              <w:top w:val="single" w:sz="2" w:space="0" w:color="auto"/>
              <w:left w:val="single" w:sz="2" w:space="0" w:color="auto"/>
              <w:bottom w:val="single" w:sz="2" w:space="0" w:color="auto"/>
              <w:right w:val="single" w:sz="2" w:space="0" w:color="auto"/>
            </w:tcBorders>
            <w:vAlign w:val="center"/>
          </w:tcPr>
          <w:p w14:paraId="46F87E6B"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281,424,737.35</w:t>
            </w:r>
          </w:p>
        </w:tc>
      </w:tr>
    </w:tbl>
    <w:p w14:paraId="6D30CCD9"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上述财务指标或其加总数是否与公司已披露季度报告、半年度报告相关财务指标存在重大差异</w:t>
      </w:r>
    </w:p>
    <w:p w14:paraId="042F9AD2"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是</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否</w:t>
      </w:r>
    </w:p>
    <w:p w14:paraId="315312AD" w14:textId="77777777" w:rsidR="00215F63" w:rsidRPr="0046769C" w:rsidRDefault="007A75D0">
      <w:pPr>
        <w:pStyle w:val="3"/>
        <w:spacing w:line="280" w:lineRule="exact"/>
        <w:jc w:val="left"/>
        <w:rPr>
          <w:rFonts w:ascii="Times New Roman" w:hAnsi="Times New Roman" w:cs="宋体"/>
          <w:b/>
          <w:bCs/>
        </w:rPr>
      </w:pPr>
      <w:bookmarkStart w:id="8" w:name="_Toc988896"/>
      <w:r w:rsidRPr="0046769C">
        <w:rPr>
          <w:rFonts w:ascii="Times New Roman" w:hAnsi="Times New Roman" w:cs="宋体"/>
          <w:b/>
          <w:bCs/>
        </w:rPr>
        <w:t>4</w:t>
      </w:r>
      <w:r w:rsidRPr="0046769C">
        <w:rPr>
          <w:rFonts w:ascii="Times New Roman" w:hAnsi="Times New Roman" w:cs="宋体"/>
          <w:b/>
          <w:bCs/>
        </w:rPr>
        <w:t>、股本及股东情况</w:t>
      </w:r>
      <w:bookmarkEnd w:id="8"/>
    </w:p>
    <w:p w14:paraId="5B004D04" w14:textId="77777777" w:rsidR="00215F63" w:rsidRPr="0046769C" w:rsidRDefault="007A75D0">
      <w:pPr>
        <w:keepNext/>
        <w:keepLines/>
        <w:spacing w:before="300" w:after="300" w:line="280" w:lineRule="exact"/>
        <w:outlineLvl w:val="3"/>
        <w:rPr>
          <w:rFonts w:ascii="Times New Roman" w:eastAsia="宋体" w:hAnsi="Times New Roman" w:cs="宋体"/>
          <w:b/>
          <w:bCs/>
          <w:sz w:val="18"/>
          <w:szCs w:val="18"/>
        </w:rPr>
      </w:pPr>
      <w:bookmarkStart w:id="9" w:name="_Toc988897"/>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1</w:t>
      </w:r>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 xml:space="preserve"> </w:t>
      </w:r>
      <w:r w:rsidRPr="0046769C">
        <w:rPr>
          <w:rFonts w:ascii="Times New Roman" w:eastAsia="宋体" w:hAnsi="Times New Roman" w:cs="宋体"/>
          <w:b/>
          <w:bCs/>
          <w:sz w:val="18"/>
          <w:szCs w:val="18"/>
        </w:rPr>
        <w:t>普通股股东和表决权恢复的优先股股东数量及前</w:t>
      </w:r>
      <w:r w:rsidRPr="0046769C">
        <w:rPr>
          <w:rFonts w:ascii="Times New Roman" w:eastAsia="宋体" w:hAnsi="Times New Roman" w:cs="宋体"/>
          <w:b/>
          <w:bCs/>
          <w:sz w:val="18"/>
          <w:szCs w:val="18"/>
        </w:rPr>
        <w:t>10</w:t>
      </w:r>
      <w:r w:rsidRPr="0046769C">
        <w:rPr>
          <w:rFonts w:ascii="Times New Roman" w:eastAsia="宋体" w:hAnsi="Times New Roman" w:cs="宋体"/>
          <w:b/>
          <w:bCs/>
          <w:sz w:val="18"/>
          <w:szCs w:val="18"/>
        </w:rPr>
        <w:t>名股东持股情况表</w:t>
      </w:r>
      <w:bookmarkEnd w:id="9"/>
    </w:p>
    <w:p w14:paraId="359767F3" w14:textId="77777777" w:rsidR="00215F63" w:rsidRPr="0046769C" w:rsidRDefault="007A75D0">
      <w:pPr>
        <w:spacing w:before="40" w:after="40"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单位：股</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418"/>
        <w:gridCol w:w="1134"/>
        <w:gridCol w:w="142"/>
        <w:gridCol w:w="1275"/>
        <w:gridCol w:w="1134"/>
        <w:gridCol w:w="252"/>
        <w:gridCol w:w="882"/>
        <w:gridCol w:w="709"/>
        <w:gridCol w:w="425"/>
        <w:gridCol w:w="1134"/>
        <w:gridCol w:w="1134"/>
      </w:tblGrid>
      <w:tr w:rsidR="00215F63" w:rsidRPr="0046769C" w14:paraId="331D394C"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14:paraId="0C7B926C"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报告期末普通股股东总数</w:t>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7BACF51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20,299</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14:paraId="3543C54E"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年度报告披露日前一个月末普通股股东总数</w:t>
            </w:r>
          </w:p>
        </w:tc>
        <w:tc>
          <w:tcPr>
            <w:tcW w:w="1134" w:type="dxa"/>
            <w:tcBorders>
              <w:top w:val="single" w:sz="2" w:space="0" w:color="auto"/>
              <w:left w:val="single" w:sz="2" w:space="0" w:color="auto"/>
              <w:bottom w:val="single" w:sz="2" w:space="0" w:color="auto"/>
              <w:right w:val="single" w:sz="2" w:space="0" w:color="auto"/>
            </w:tcBorders>
            <w:vAlign w:val="center"/>
          </w:tcPr>
          <w:p w14:paraId="03F519A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19,501</w:t>
            </w:r>
          </w:p>
        </w:tc>
        <w:tc>
          <w:tcPr>
            <w:tcW w:w="113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CE6E19B"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报告期末表决权恢复的优先股股东总数</w:t>
            </w:r>
          </w:p>
        </w:tc>
        <w:tc>
          <w:tcPr>
            <w:tcW w:w="1134" w:type="dxa"/>
            <w:gridSpan w:val="2"/>
            <w:tcBorders>
              <w:top w:val="single" w:sz="2" w:space="0" w:color="auto"/>
              <w:left w:val="single" w:sz="2" w:space="0" w:color="auto"/>
              <w:bottom w:val="single" w:sz="2" w:space="0" w:color="auto"/>
              <w:right w:val="single" w:sz="2" w:space="0" w:color="auto"/>
            </w:tcBorders>
            <w:vAlign w:val="center"/>
          </w:tcPr>
          <w:p w14:paraId="7069D66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2752A780"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年度报告披露日前一个月末表决权恢复的优先股股东总数</w:t>
            </w:r>
          </w:p>
        </w:tc>
        <w:tc>
          <w:tcPr>
            <w:tcW w:w="1134" w:type="dxa"/>
            <w:tcBorders>
              <w:top w:val="single" w:sz="2" w:space="0" w:color="auto"/>
              <w:left w:val="single" w:sz="2" w:space="0" w:color="auto"/>
              <w:bottom w:val="single" w:sz="2" w:space="0" w:color="auto"/>
              <w:right w:val="single" w:sz="2" w:space="0" w:color="auto"/>
            </w:tcBorders>
            <w:vAlign w:val="center"/>
          </w:tcPr>
          <w:p w14:paraId="28F0A60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48A1F035" w14:textId="77777777">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14:paraId="032BF6A6"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前</w:t>
            </w:r>
            <w:r w:rsidRPr="0046769C">
              <w:rPr>
                <w:rFonts w:ascii="Times New Roman" w:eastAsia="宋体" w:hAnsi="Times New Roman" w:cs="宋体"/>
                <w:sz w:val="18"/>
                <w:szCs w:val="18"/>
              </w:rPr>
              <w:t>10</w:t>
            </w:r>
            <w:r w:rsidRPr="0046769C">
              <w:rPr>
                <w:rFonts w:ascii="Times New Roman" w:eastAsia="宋体" w:hAnsi="Times New Roman" w:cs="宋体"/>
                <w:sz w:val="18"/>
                <w:szCs w:val="18"/>
              </w:rPr>
              <w:t>名股东持股情况（不含通过转融通出借股份）</w:t>
            </w:r>
          </w:p>
        </w:tc>
      </w:tr>
      <w:tr w:rsidR="00215F63" w:rsidRPr="0046769C" w14:paraId="5F2EC7B4" w14:textId="77777777" w:rsidTr="00726007">
        <w:trPr>
          <w:trHeight w:val="240"/>
        </w:trPr>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788FA0D"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股东名称</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ED7235"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股东性质</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C43188C"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持股比例</w:t>
            </w:r>
          </w:p>
        </w:tc>
        <w:tc>
          <w:tcPr>
            <w:tcW w:w="138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5117CAA"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持股数量</w:t>
            </w:r>
          </w:p>
        </w:tc>
        <w:tc>
          <w:tcPr>
            <w:tcW w:w="159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2AE85C60"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持有有限售条件的股份数量</w:t>
            </w:r>
          </w:p>
        </w:tc>
        <w:tc>
          <w:tcPr>
            <w:tcW w:w="269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F2CA7D1"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质押、标记或冻结情况</w:t>
            </w:r>
          </w:p>
        </w:tc>
      </w:tr>
      <w:tr w:rsidR="00215F63" w:rsidRPr="0046769C" w14:paraId="14E8C854" w14:textId="77777777" w:rsidTr="00726007">
        <w:trPr>
          <w:trHeight w:val="240"/>
        </w:trPr>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0B028DF" w14:textId="77777777" w:rsidR="00215F63" w:rsidRPr="0046769C" w:rsidRDefault="00215F63">
            <w:pPr>
              <w:rPr>
                <w:rFonts w:ascii="Times New Roman" w:eastAsia="宋体" w:hAnsi="Times New Roman"/>
              </w:rPr>
            </w:pPr>
          </w:p>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11CBCBE" w14:textId="77777777" w:rsidR="00215F63" w:rsidRPr="0046769C" w:rsidRDefault="00215F63">
            <w:pPr>
              <w:rPr>
                <w:rFonts w:ascii="Times New Roman" w:eastAsia="宋体" w:hAnsi="Times New Roman"/>
              </w:rPr>
            </w:pPr>
          </w:p>
        </w:tc>
        <w:tc>
          <w:tcPr>
            <w:tcW w:w="1417"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668194AC" w14:textId="77777777" w:rsidR="00215F63" w:rsidRPr="0046769C" w:rsidRDefault="00215F63">
            <w:pPr>
              <w:rPr>
                <w:rFonts w:ascii="Times New Roman" w:eastAsia="宋体" w:hAnsi="Times New Roman"/>
              </w:rPr>
            </w:pPr>
          </w:p>
        </w:tc>
        <w:tc>
          <w:tcPr>
            <w:tcW w:w="138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1431678C" w14:textId="77777777" w:rsidR="00215F63" w:rsidRPr="0046769C" w:rsidRDefault="00215F63">
            <w:pPr>
              <w:rPr>
                <w:rFonts w:ascii="Times New Roman" w:eastAsia="宋体" w:hAnsi="Times New Roman"/>
              </w:rPr>
            </w:pPr>
          </w:p>
        </w:tc>
        <w:tc>
          <w:tcPr>
            <w:tcW w:w="159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465E3043" w14:textId="77777777" w:rsidR="00215F63" w:rsidRPr="0046769C" w:rsidRDefault="00215F63">
            <w:pPr>
              <w:rPr>
                <w:rFonts w:ascii="Times New Roman" w:eastAsia="宋体" w:hAnsi="Times New Roman"/>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266E6258"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股份状态</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14:paraId="73BF81F0" w14:textId="77777777" w:rsidR="00215F63" w:rsidRPr="0046769C" w:rsidRDefault="007A75D0">
            <w:pPr>
              <w:spacing w:before="40" w:after="40" w:line="240" w:lineRule="exact"/>
              <w:jc w:val="center"/>
              <w:rPr>
                <w:rFonts w:ascii="Times New Roman" w:eastAsia="宋体" w:hAnsi="Times New Roman" w:cs="宋体"/>
                <w:sz w:val="18"/>
                <w:szCs w:val="18"/>
              </w:rPr>
            </w:pPr>
            <w:r w:rsidRPr="0046769C">
              <w:rPr>
                <w:rFonts w:ascii="Times New Roman" w:eastAsia="宋体" w:hAnsi="Times New Roman" w:cs="宋体"/>
                <w:sz w:val="18"/>
                <w:szCs w:val="18"/>
              </w:rPr>
              <w:t>数量</w:t>
            </w:r>
          </w:p>
        </w:tc>
      </w:tr>
      <w:tr w:rsidR="00215F63" w:rsidRPr="0046769C" w14:paraId="3E294B74"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415A06F9"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天津兴津企业管理有限公司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35CA4AB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国有法人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2CA1E4B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22.46%</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59CF1E5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79,200,321</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79CBA06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13D4B2F6"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61E2357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77FBCDE9"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51407057"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天津水务集团有限公司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30229339"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国有法人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976AE7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13.01%</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19103DB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45,868,731</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1F1C3C3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193F06AA"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21EF64D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354BE8" w:rsidRPr="0046769C" w14:paraId="584551C3" w14:textId="77777777" w:rsidTr="002926E2">
        <w:trPr>
          <w:trHeight w:val="240"/>
        </w:trPr>
        <w:tc>
          <w:tcPr>
            <w:tcW w:w="1418" w:type="dxa"/>
            <w:vMerge w:val="restart"/>
            <w:tcBorders>
              <w:top w:val="single" w:sz="2" w:space="0" w:color="auto"/>
              <w:left w:val="single" w:sz="2" w:space="0" w:color="auto"/>
              <w:right w:val="single" w:sz="2" w:space="0" w:color="auto"/>
            </w:tcBorders>
            <w:vAlign w:val="center"/>
          </w:tcPr>
          <w:p w14:paraId="12176CFE" w14:textId="54F21ACD" w:rsidR="00354BE8" w:rsidRPr="0046769C" w:rsidRDefault="00354BE8" w:rsidP="001027E6">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李华青</w:t>
            </w:r>
          </w:p>
        </w:tc>
        <w:tc>
          <w:tcPr>
            <w:tcW w:w="1134" w:type="dxa"/>
            <w:vMerge w:val="restart"/>
            <w:tcBorders>
              <w:top w:val="single" w:sz="2" w:space="0" w:color="auto"/>
              <w:left w:val="single" w:sz="2" w:space="0" w:color="auto"/>
              <w:right w:val="single" w:sz="2" w:space="0" w:color="auto"/>
            </w:tcBorders>
            <w:vAlign w:val="center"/>
          </w:tcPr>
          <w:p w14:paraId="27BCFDCE" w14:textId="6FCDCFDE" w:rsidR="00354BE8" w:rsidRPr="0046769C" w:rsidRDefault="00354BE8" w:rsidP="00B97103">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境内自然人</w:t>
            </w:r>
          </w:p>
        </w:tc>
        <w:tc>
          <w:tcPr>
            <w:tcW w:w="1417" w:type="dxa"/>
            <w:gridSpan w:val="2"/>
            <w:vMerge w:val="restart"/>
            <w:tcBorders>
              <w:top w:val="single" w:sz="2" w:space="0" w:color="auto"/>
              <w:left w:val="single" w:sz="2" w:space="0" w:color="auto"/>
              <w:right w:val="single" w:sz="2" w:space="0" w:color="auto"/>
            </w:tcBorders>
            <w:vAlign w:val="center"/>
          </w:tcPr>
          <w:p w14:paraId="18617DC9" w14:textId="3FDD8763" w:rsidR="00354BE8" w:rsidRPr="0046769C" w:rsidRDefault="00354BE8" w:rsidP="00354BE8">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5.68%</w:t>
            </w:r>
          </w:p>
        </w:tc>
        <w:tc>
          <w:tcPr>
            <w:tcW w:w="1386" w:type="dxa"/>
            <w:gridSpan w:val="2"/>
            <w:vMerge w:val="restart"/>
            <w:tcBorders>
              <w:top w:val="single" w:sz="2" w:space="0" w:color="auto"/>
              <w:left w:val="single" w:sz="2" w:space="0" w:color="auto"/>
              <w:right w:val="single" w:sz="2" w:space="0" w:color="auto"/>
            </w:tcBorders>
            <w:vAlign w:val="center"/>
          </w:tcPr>
          <w:p w14:paraId="6F235977" w14:textId="6F986500" w:rsidR="00354BE8" w:rsidRPr="0046769C" w:rsidRDefault="00354BE8" w:rsidP="00354BE8">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20,019,883</w:t>
            </w:r>
          </w:p>
        </w:tc>
        <w:tc>
          <w:tcPr>
            <w:tcW w:w="1591" w:type="dxa"/>
            <w:gridSpan w:val="2"/>
            <w:vMerge w:val="restart"/>
            <w:tcBorders>
              <w:top w:val="single" w:sz="2" w:space="0" w:color="auto"/>
              <w:left w:val="single" w:sz="2" w:space="0" w:color="auto"/>
              <w:right w:val="single" w:sz="2" w:space="0" w:color="auto"/>
            </w:tcBorders>
            <w:vAlign w:val="center"/>
          </w:tcPr>
          <w:p w14:paraId="3A2C1514" w14:textId="605E9D69" w:rsidR="00354BE8" w:rsidRPr="0046769C" w:rsidRDefault="00F757AA" w:rsidP="00354BE8">
            <w:pPr>
              <w:spacing w:line="240" w:lineRule="exact"/>
              <w:jc w:val="right"/>
              <w:rPr>
                <w:rFonts w:ascii="Times New Roman" w:eastAsia="宋体" w:hAnsi="Times New Roman" w:cs="宋体"/>
                <w:sz w:val="18"/>
                <w:szCs w:val="18"/>
              </w:rPr>
            </w:pPr>
            <w:r w:rsidRPr="00F757AA">
              <w:rPr>
                <w:rFonts w:ascii="Times New Roman" w:eastAsia="宋体" w:hAnsi="Times New Roman" w:cs="宋体"/>
                <w:sz w:val="18"/>
                <w:szCs w:val="18"/>
              </w:rPr>
              <w:t>15</w:t>
            </w:r>
            <w:r>
              <w:rPr>
                <w:rFonts w:ascii="Times New Roman" w:eastAsia="宋体" w:hAnsi="Times New Roman" w:cs="宋体" w:hint="eastAsia"/>
                <w:sz w:val="18"/>
                <w:szCs w:val="18"/>
              </w:rPr>
              <w:t>,</w:t>
            </w:r>
            <w:r w:rsidRPr="00F757AA">
              <w:rPr>
                <w:rFonts w:ascii="Times New Roman" w:eastAsia="宋体" w:hAnsi="Times New Roman" w:cs="宋体"/>
                <w:sz w:val="18"/>
                <w:szCs w:val="18"/>
              </w:rPr>
              <w:t>014</w:t>
            </w:r>
            <w:r>
              <w:rPr>
                <w:rFonts w:ascii="Times New Roman" w:eastAsia="宋体" w:hAnsi="Times New Roman" w:cs="宋体"/>
                <w:sz w:val="18"/>
                <w:szCs w:val="18"/>
              </w:rPr>
              <w:t>,</w:t>
            </w:r>
            <w:r w:rsidRPr="00F757AA">
              <w:rPr>
                <w:rFonts w:ascii="Times New Roman" w:eastAsia="宋体" w:hAnsi="Times New Roman" w:cs="宋体"/>
                <w:sz w:val="18"/>
                <w:szCs w:val="18"/>
              </w:rPr>
              <w:t>912</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8317B01" w14:textId="77777777" w:rsidR="00354BE8" w:rsidRPr="0046769C" w:rsidRDefault="00354BE8">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质押</w:t>
            </w:r>
          </w:p>
        </w:tc>
        <w:tc>
          <w:tcPr>
            <w:tcW w:w="1134" w:type="dxa"/>
            <w:tcBorders>
              <w:top w:val="single" w:sz="2" w:space="0" w:color="auto"/>
              <w:left w:val="single" w:sz="2" w:space="0" w:color="auto"/>
              <w:bottom w:val="single" w:sz="2" w:space="0" w:color="auto"/>
              <w:right w:val="single" w:sz="2" w:space="0" w:color="auto"/>
            </w:tcBorders>
            <w:vAlign w:val="center"/>
          </w:tcPr>
          <w:p w14:paraId="2D48ADEE" w14:textId="77777777" w:rsidR="00354BE8" w:rsidRPr="0046769C" w:rsidRDefault="00354BE8">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20,019,883</w:t>
            </w:r>
          </w:p>
        </w:tc>
      </w:tr>
      <w:tr w:rsidR="00354BE8" w:rsidRPr="0046769C" w14:paraId="5BAC6FF7" w14:textId="77777777" w:rsidTr="002926E2">
        <w:trPr>
          <w:trHeight w:val="240"/>
        </w:trPr>
        <w:tc>
          <w:tcPr>
            <w:tcW w:w="1418" w:type="dxa"/>
            <w:vMerge/>
            <w:tcBorders>
              <w:left w:val="single" w:sz="2" w:space="0" w:color="auto"/>
              <w:bottom w:val="single" w:sz="2" w:space="0" w:color="auto"/>
              <w:right w:val="single" w:sz="2" w:space="0" w:color="auto"/>
            </w:tcBorders>
            <w:vAlign w:val="center"/>
          </w:tcPr>
          <w:p w14:paraId="765E788F" w14:textId="05029709" w:rsidR="00354BE8" w:rsidRPr="0046769C" w:rsidRDefault="00354BE8">
            <w:pPr>
              <w:spacing w:line="240" w:lineRule="exact"/>
              <w:rPr>
                <w:rFonts w:ascii="Times New Roman" w:eastAsia="宋体" w:hAnsi="Times New Roman" w:cs="宋体"/>
                <w:sz w:val="18"/>
                <w:szCs w:val="18"/>
              </w:rPr>
            </w:pPr>
          </w:p>
        </w:tc>
        <w:tc>
          <w:tcPr>
            <w:tcW w:w="1134" w:type="dxa"/>
            <w:vMerge/>
            <w:tcBorders>
              <w:left w:val="single" w:sz="2" w:space="0" w:color="auto"/>
              <w:bottom w:val="single" w:sz="2" w:space="0" w:color="auto"/>
              <w:right w:val="single" w:sz="2" w:space="0" w:color="auto"/>
            </w:tcBorders>
            <w:vAlign w:val="center"/>
          </w:tcPr>
          <w:p w14:paraId="2143F42C" w14:textId="23F4411C" w:rsidR="00354BE8" w:rsidRPr="0046769C" w:rsidRDefault="00354BE8">
            <w:pPr>
              <w:spacing w:line="240" w:lineRule="exact"/>
              <w:rPr>
                <w:rFonts w:ascii="Times New Roman" w:eastAsia="宋体" w:hAnsi="Times New Roman" w:cs="宋体"/>
                <w:sz w:val="18"/>
                <w:szCs w:val="18"/>
              </w:rPr>
            </w:pPr>
          </w:p>
        </w:tc>
        <w:tc>
          <w:tcPr>
            <w:tcW w:w="1417" w:type="dxa"/>
            <w:gridSpan w:val="2"/>
            <w:vMerge/>
            <w:tcBorders>
              <w:left w:val="single" w:sz="2" w:space="0" w:color="auto"/>
              <w:bottom w:val="single" w:sz="2" w:space="0" w:color="auto"/>
              <w:right w:val="single" w:sz="2" w:space="0" w:color="auto"/>
            </w:tcBorders>
            <w:vAlign w:val="center"/>
          </w:tcPr>
          <w:p w14:paraId="46FAF6F4" w14:textId="0EA0A0AB" w:rsidR="00354BE8" w:rsidRPr="0046769C" w:rsidRDefault="00354BE8">
            <w:pPr>
              <w:spacing w:line="240" w:lineRule="exact"/>
              <w:jc w:val="right"/>
              <w:rPr>
                <w:rFonts w:ascii="Times New Roman" w:eastAsia="宋体" w:hAnsi="Times New Roman" w:cs="宋体"/>
                <w:sz w:val="18"/>
                <w:szCs w:val="18"/>
              </w:rPr>
            </w:pPr>
          </w:p>
        </w:tc>
        <w:tc>
          <w:tcPr>
            <w:tcW w:w="1386" w:type="dxa"/>
            <w:gridSpan w:val="2"/>
            <w:vMerge/>
            <w:tcBorders>
              <w:left w:val="single" w:sz="2" w:space="0" w:color="auto"/>
              <w:bottom w:val="single" w:sz="2" w:space="0" w:color="auto"/>
              <w:right w:val="single" w:sz="2" w:space="0" w:color="auto"/>
            </w:tcBorders>
            <w:vAlign w:val="center"/>
          </w:tcPr>
          <w:p w14:paraId="24E0C69C" w14:textId="4CB0165E" w:rsidR="00354BE8" w:rsidRPr="0046769C" w:rsidRDefault="00354BE8">
            <w:pPr>
              <w:spacing w:line="240" w:lineRule="exact"/>
              <w:jc w:val="right"/>
              <w:rPr>
                <w:rFonts w:ascii="Times New Roman" w:eastAsia="宋体" w:hAnsi="Times New Roman" w:cs="宋体"/>
                <w:sz w:val="18"/>
                <w:szCs w:val="18"/>
              </w:rPr>
            </w:pPr>
          </w:p>
        </w:tc>
        <w:tc>
          <w:tcPr>
            <w:tcW w:w="1591" w:type="dxa"/>
            <w:gridSpan w:val="2"/>
            <w:vMerge/>
            <w:tcBorders>
              <w:left w:val="single" w:sz="2" w:space="0" w:color="auto"/>
              <w:bottom w:val="single" w:sz="2" w:space="0" w:color="auto"/>
              <w:right w:val="single" w:sz="2" w:space="0" w:color="auto"/>
            </w:tcBorders>
            <w:vAlign w:val="center"/>
          </w:tcPr>
          <w:p w14:paraId="5E300B96" w14:textId="3867FE97" w:rsidR="00354BE8" w:rsidRPr="0046769C" w:rsidRDefault="00354BE8">
            <w:pPr>
              <w:spacing w:line="240" w:lineRule="exact"/>
              <w:jc w:val="right"/>
              <w:rPr>
                <w:rFonts w:ascii="Times New Roman" w:eastAsia="宋体" w:hAnsi="Times New Roman" w:cs="宋体"/>
                <w:sz w:val="18"/>
                <w:szCs w:val="18"/>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4396D2E" w14:textId="77777777" w:rsidR="00354BE8" w:rsidRPr="0046769C" w:rsidRDefault="00354BE8">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冻结</w:t>
            </w:r>
          </w:p>
        </w:tc>
        <w:tc>
          <w:tcPr>
            <w:tcW w:w="1134" w:type="dxa"/>
            <w:tcBorders>
              <w:top w:val="single" w:sz="2" w:space="0" w:color="auto"/>
              <w:left w:val="single" w:sz="2" w:space="0" w:color="auto"/>
              <w:bottom w:val="single" w:sz="2" w:space="0" w:color="auto"/>
              <w:right w:val="single" w:sz="2" w:space="0" w:color="auto"/>
            </w:tcBorders>
            <w:vAlign w:val="center"/>
          </w:tcPr>
          <w:p w14:paraId="5A1E68EF" w14:textId="77777777" w:rsidR="00354BE8" w:rsidRPr="0046769C" w:rsidRDefault="00354BE8">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20,019,883</w:t>
            </w:r>
          </w:p>
        </w:tc>
      </w:tr>
      <w:tr w:rsidR="00215F63" w:rsidRPr="0046769C" w14:paraId="19098F72"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01503A17"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天津市水利经济管理办公室</w:t>
            </w:r>
          </w:p>
        </w:tc>
        <w:tc>
          <w:tcPr>
            <w:tcW w:w="1134" w:type="dxa"/>
            <w:tcBorders>
              <w:top w:val="single" w:sz="2" w:space="0" w:color="auto"/>
              <w:left w:val="single" w:sz="2" w:space="0" w:color="auto"/>
              <w:bottom w:val="single" w:sz="2" w:space="0" w:color="auto"/>
              <w:right w:val="single" w:sz="2" w:space="0" w:color="auto"/>
            </w:tcBorders>
            <w:vAlign w:val="center"/>
          </w:tcPr>
          <w:p w14:paraId="7DD13248"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国有法人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5D83019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4.82%</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05E213BF"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16,990,862</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4D1C37D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E970873"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132BF95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778873B9"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1ED0C02A"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石家庄合力投资咨询中心（有限合伙）</w:t>
            </w:r>
          </w:p>
        </w:tc>
        <w:tc>
          <w:tcPr>
            <w:tcW w:w="1134" w:type="dxa"/>
            <w:tcBorders>
              <w:top w:val="single" w:sz="2" w:space="0" w:color="auto"/>
              <w:left w:val="single" w:sz="2" w:space="0" w:color="auto"/>
              <w:bottom w:val="single" w:sz="2" w:space="0" w:color="auto"/>
              <w:right w:val="single" w:sz="2" w:space="0" w:color="auto"/>
            </w:tcBorders>
            <w:vAlign w:val="center"/>
          </w:tcPr>
          <w:p w14:paraId="4968C421"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境内非国有法人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5338FAA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1.83%</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4BF4E29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6,444,444</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0CA663E0"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66523CBF"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7BF16A50"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60E36C95"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48CC795E"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北京宏儒和愉投资管理有限公司－苏州弘德源投资管理中心（有限合伙）</w:t>
            </w:r>
          </w:p>
        </w:tc>
        <w:tc>
          <w:tcPr>
            <w:tcW w:w="1134" w:type="dxa"/>
            <w:tcBorders>
              <w:top w:val="single" w:sz="2" w:space="0" w:color="auto"/>
              <w:left w:val="single" w:sz="2" w:space="0" w:color="auto"/>
              <w:bottom w:val="single" w:sz="2" w:space="0" w:color="auto"/>
              <w:right w:val="single" w:sz="2" w:space="0" w:color="auto"/>
            </w:tcBorders>
            <w:vAlign w:val="center"/>
          </w:tcPr>
          <w:p w14:paraId="6758DA0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其他</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56B1E276"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1.06%</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0149BC7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3,740,800</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04D09EF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526E3860"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6975A262"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168229D4"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0FC967F3"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中信里昂资产管理有限公司－客户资金－人民币资金汇入</w:t>
            </w:r>
          </w:p>
        </w:tc>
        <w:tc>
          <w:tcPr>
            <w:tcW w:w="1134" w:type="dxa"/>
            <w:tcBorders>
              <w:top w:val="single" w:sz="2" w:space="0" w:color="auto"/>
              <w:left w:val="single" w:sz="2" w:space="0" w:color="auto"/>
              <w:bottom w:val="single" w:sz="2" w:space="0" w:color="auto"/>
              <w:right w:val="single" w:sz="2" w:space="0" w:color="auto"/>
            </w:tcBorders>
            <w:vAlign w:val="center"/>
          </w:tcPr>
          <w:p w14:paraId="3CA58442"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境外法人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CFAD8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0.69%</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1E4197F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2,437,120</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556FE33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06C2120"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0F3F9D4C"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1F0AC297"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1A8B6CDB"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翟育豹</w:t>
            </w:r>
          </w:p>
        </w:tc>
        <w:tc>
          <w:tcPr>
            <w:tcW w:w="1134" w:type="dxa"/>
            <w:tcBorders>
              <w:top w:val="single" w:sz="2" w:space="0" w:color="auto"/>
              <w:left w:val="single" w:sz="2" w:space="0" w:color="auto"/>
              <w:bottom w:val="single" w:sz="2" w:space="0" w:color="auto"/>
              <w:right w:val="single" w:sz="2" w:space="0" w:color="auto"/>
            </w:tcBorders>
            <w:vAlign w:val="center"/>
          </w:tcPr>
          <w:p w14:paraId="71DBC1EE"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境内自然人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16ABC664"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0.64%</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56E6B8C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2,273,800</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6C4B8AF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291E7242"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101209B3"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2C004C6D"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7AD7D4E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华泰金融控股（香港）有限</w:t>
            </w:r>
            <w:r w:rsidRPr="0046769C">
              <w:rPr>
                <w:rFonts w:ascii="Times New Roman" w:eastAsia="宋体" w:hAnsi="Times New Roman" w:cs="宋体"/>
                <w:sz w:val="18"/>
                <w:szCs w:val="18"/>
              </w:rPr>
              <w:lastRenderedPageBreak/>
              <w:t>公司－中国动力基金</w:t>
            </w:r>
          </w:p>
        </w:tc>
        <w:tc>
          <w:tcPr>
            <w:tcW w:w="1134" w:type="dxa"/>
            <w:tcBorders>
              <w:top w:val="single" w:sz="2" w:space="0" w:color="auto"/>
              <w:left w:val="single" w:sz="2" w:space="0" w:color="auto"/>
              <w:bottom w:val="single" w:sz="2" w:space="0" w:color="auto"/>
              <w:right w:val="single" w:sz="2" w:space="0" w:color="auto"/>
            </w:tcBorders>
            <w:vAlign w:val="center"/>
          </w:tcPr>
          <w:p w14:paraId="4510592C"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lastRenderedPageBreak/>
              <w:t>境外法人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1F39B525"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0.55%</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03E6FCD9"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1,926,020</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4F7ED158"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F3205DE"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4D17FAE0"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10A0E4FA" w14:textId="77777777" w:rsidTr="00726007">
        <w:trPr>
          <w:trHeight w:val="240"/>
        </w:trPr>
        <w:tc>
          <w:tcPr>
            <w:tcW w:w="1418" w:type="dxa"/>
            <w:tcBorders>
              <w:top w:val="single" w:sz="2" w:space="0" w:color="auto"/>
              <w:left w:val="single" w:sz="2" w:space="0" w:color="auto"/>
              <w:bottom w:val="single" w:sz="2" w:space="0" w:color="auto"/>
              <w:right w:val="single" w:sz="2" w:space="0" w:color="auto"/>
            </w:tcBorders>
            <w:vAlign w:val="center"/>
          </w:tcPr>
          <w:p w14:paraId="2280BE67"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光大证券股份有限公司</w:t>
            </w:r>
          </w:p>
        </w:tc>
        <w:tc>
          <w:tcPr>
            <w:tcW w:w="1134" w:type="dxa"/>
            <w:tcBorders>
              <w:top w:val="single" w:sz="2" w:space="0" w:color="auto"/>
              <w:left w:val="single" w:sz="2" w:space="0" w:color="auto"/>
              <w:bottom w:val="single" w:sz="2" w:space="0" w:color="auto"/>
              <w:right w:val="single" w:sz="2" w:space="0" w:color="auto"/>
            </w:tcBorders>
            <w:vAlign w:val="center"/>
          </w:tcPr>
          <w:p w14:paraId="40152FDD"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国有法人</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07D9FED7"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0.54%</w:t>
            </w:r>
          </w:p>
        </w:tc>
        <w:tc>
          <w:tcPr>
            <w:tcW w:w="1386" w:type="dxa"/>
            <w:gridSpan w:val="2"/>
            <w:tcBorders>
              <w:top w:val="single" w:sz="2" w:space="0" w:color="auto"/>
              <w:left w:val="single" w:sz="2" w:space="0" w:color="auto"/>
              <w:bottom w:val="single" w:sz="2" w:space="0" w:color="auto"/>
              <w:right w:val="single" w:sz="2" w:space="0" w:color="auto"/>
            </w:tcBorders>
            <w:vAlign w:val="center"/>
          </w:tcPr>
          <w:p w14:paraId="51123181"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1,909,420</w:t>
            </w:r>
          </w:p>
        </w:tc>
        <w:tc>
          <w:tcPr>
            <w:tcW w:w="1591" w:type="dxa"/>
            <w:gridSpan w:val="2"/>
            <w:tcBorders>
              <w:top w:val="single" w:sz="2" w:space="0" w:color="auto"/>
              <w:left w:val="single" w:sz="2" w:space="0" w:color="auto"/>
              <w:bottom w:val="single" w:sz="2" w:space="0" w:color="auto"/>
              <w:right w:val="single" w:sz="2" w:space="0" w:color="auto"/>
            </w:tcBorders>
            <w:vAlign w:val="center"/>
          </w:tcPr>
          <w:p w14:paraId="420212E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649D11F8"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不适用</w:t>
            </w:r>
          </w:p>
        </w:tc>
        <w:tc>
          <w:tcPr>
            <w:tcW w:w="1134" w:type="dxa"/>
            <w:tcBorders>
              <w:top w:val="single" w:sz="2" w:space="0" w:color="auto"/>
              <w:left w:val="single" w:sz="2" w:space="0" w:color="auto"/>
              <w:bottom w:val="single" w:sz="2" w:space="0" w:color="auto"/>
              <w:right w:val="single" w:sz="2" w:space="0" w:color="auto"/>
            </w:tcBorders>
            <w:vAlign w:val="center"/>
          </w:tcPr>
          <w:p w14:paraId="78C74B4E" w14:textId="77777777" w:rsidR="00215F63" w:rsidRPr="0046769C" w:rsidRDefault="007A75D0">
            <w:pPr>
              <w:spacing w:line="240" w:lineRule="exact"/>
              <w:jc w:val="right"/>
              <w:rPr>
                <w:rFonts w:ascii="Times New Roman" w:eastAsia="宋体" w:hAnsi="Times New Roman" w:cs="宋体"/>
                <w:sz w:val="18"/>
                <w:szCs w:val="18"/>
              </w:rPr>
            </w:pPr>
            <w:r w:rsidRPr="0046769C">
              <w:rPr>
                <w:rFonts w:ascii="Times New Roman" w:eastAsia="宋体" w:hAnsi="Times New Roman" w:cs="宋体"/>
                <w:sz w:val="18"/>
                <w:szCs w:val="18"/>
              </w:rPr>
              <w:t>0</w:t>
            </w:r>
          </w:p>
        </w:tc>
      </w:tr>
      <w:tr w:rsidR="00215F63" w:rsidRPr="0046769C" w14:paraId="56B8607C" w14:textId="77777777" w:rsidTr="00726007">
        <w:trPr>
          <w:trHeight w:val="240"/>
        </w:trPr>
        <w:tc>
          <w:tcPr>
            <w:tcW w:w="25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077D0531"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上述股东关联关系或一致行动的说明</w:t>
            </w:r>
          </w:p>
        </w:tc>
        <w:tc>
          <w:tcPr>
            <w:tcW w:w="7087" w:type="dxa"/>
            <w:gridSpan w:val="9"/>
            <w:tcBorders>
              <w:top w:val="single" w:sz="2" w:space="0" w:color="auto"/>
              <w:left w:val="single" w:sz="2" w:space="0" w:color="auto"/>
              <w:bottom w:val="single" w:sz="2" w:space="0" w:color="auto"/>
              <w:right w:val="single" w:sz="2" w:space="0" w:color="auto"/>
            </w:tcBorders>
            <w:vAlign w:val="center"/>
          </w:tcPr>
          <w:p w14:paraId="623CEF62"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兴津公司与水务集团为一致行动人，与其他股东不属于一致行动人。李华青与石家庄合力为一致行动人，与其他股东不属于一致行动人。本公司未知其他股东之间是否存在关联关系，也未知其他股东是否属于一致行动人。</w:t>
            </w:r>
          </w:p>
        </w:tc>
      </w:tr>
      <w:tr w:rsidR="00215F63" w:rsidRPr="0046769C" w14:paraId="3F3B3CD5" w14:textId="77777777" w:rsidTr="00726007">
        <w:trPr>
          <w:trHeight w:val="240"/>
        </w:trPr>
        <w:tc>
          <w:tcPr>
            <w:tcW w:w="25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A5A65BC"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参与融资融券业务股东情况说明（如有）</w:t>
            </w:r>
          </w:p>
        </w:tc>
        <w:tc>
          <w:tcPr>
            <w:tcW w:w="7087" w:type="dxa"/>
            <w:gridSpan w:val="9"/>
            <w:tcBorders>
              <w:top w:val="single" w:sz="2" w:space="0" w:color="auto"/>
              <w:left w:val="single" w:sz="2" w:space="0" w:color="auto"/>
              <w:bottom w:val="single" w:sz="2" w:space="0" w:color="auto"/>
              <w:right w:val="single" w:sz="2" w:space="0" w:color="auto"/>
            </w:tcBorders>
            <w:vAlign w:val="center"/>
          </w:tcPr>
          <w:p w14:paraId="78FDE4B0"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无</w:t>
            </w:r>
          </w:p>
        </w:tc>
      </w:tr>
    </w:tbl>
    <w:p w14:paraId="5E998BD2"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前十名股东参与转融通业务出借股份情况</w:t>
      </w:r>
    </w:p>
    <w:p w14:paraId="4395EC54"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不适用</w:t>
      </w:r>
    </w:p>
    <w:p w14:paraId="699821B6"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前十名股东较上期发生变化</w:t>
      </w:r>
    </w:p>
    <w:p w14:paraId="0C524319" w14:textId="77777777" w:rsidR="00215F63" w:rsidRPr="0046769C" w:rsidRDefault="007A75D0">
      <w:pPr>
        <w:spacing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不适用</w:t>
      </w:r>
    </w:p>
    <w:p w14:paraId="4AE4D2D9" w14:textId="77777777" w:rsidR="00215F63" w:rsidRPr="0046769C" w:rsidRDefault="007A75D0">
      <w:pPr>
        <w:keepNext/>
        <w:keepLines/>
        <w:spacing w:before="300" w:after="300" w:line="280" w:lineRule="exact"/>
        <w:outlineLvl w:val="3"/>
        <w:rPr>
          <w:rFonts w:ascii="Times New Roman" w:eastAsia="宋体" w:hAnsi="Times New Roman" w:cs="宋体"/>
          <w:b/>
          <w:bCs/>
          <w:sz w:val="18"/>
          <w:szCs w:val="18"/>
        </w:rPr>
      </w:pPr>
      <w:bookmarkStart w:id="10" w:name="_Toc988898"/>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2</w:t>
      </w:r>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 xml:space="preserve"> </w:t>
      </w:r>
      <w:r w:rsidRPr="0046769C">
        <w:rPr>
          <w:rFonts w:ascii="Times New Roman" w:eastAsia="宋体" w:hAnsi="Times New Roman" w:cs="宋体"/>
          <w:b/>
          <w:bCs/>
          <w:sz w:val="18"/>
          <w:szCs w:val="18"/>
        </w:rPr>
        <w:t>公司优先股股东总数及前</w:t>
      </w:r>
      <w:r w:rsidRPr="0046769C">
        <w:rPr>
          <w:rFonts w:ascii="Times New Roman" w:eastAsia="宋体" w:hAnsi="Times New Roman" w:cs="宋体"/>
          <w:b/>
          <w:bCs/>
          <w:sz w:val="18"/>
          <w:szCs w:val="18"/>
        </w:rPr>
        <w:t>10</w:t>
      </w:r>
      <w:r w:rsidRPr="0046769C">
        <w:rPr>
          <w:rFonts w:ascii="Times New Roman" w:eastAsia="宋体" w:hAnsi="Times New Roman" w:cs="宋体"/>
          <w:b/>
          <w:bCs/>
          <w:sz w:val="18"/>
          <w:szCs w:val="18"/>
        </w:rPr>
        <w:t>名优先股股东持股情况表</w:t>
      </w:r>
      <w:bookmarkEnd w:id="10"/>
    </w:p>
    <w:p w14:paraId="4779B496" w14:textId="77777777" w:rsidR="00215F63" w:rsidRPr="0046769C" w:rsidRDefault="007A75D0">
      <w:pPr>
        <w:spacing w:before="40" w:after="4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不适用</w:t>
      </w:r>
    </w:p>
    <w:p w14:paraId="2311AB98"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公司报告期无优先股股东持股情况。</w:t>
      </w:r>
    </w:p>
    <w:p w14:paraId="77F0BC88" w14:textId="77777777" w:rsidR="00215F63" w:rsidRPr="0046769C" w:rsidRDefault="007A75D0">
      <w:pPr>
        <w:keepNext/>
        <w:keepLines/>
        <w:spacing w:before="300" w:after="300" w:line="280" w:lineRule="exact"/>
        <w:outlineLvl w:val="3"/>
        <w:rPr>
          <w:rFonts w:ascii="Times New Roman" w:eastAsia="宋体" w:hAnsi="Times New Roman" w:cs="宋体"/>
          <w:b/>
          <w:bCs/>
          <w:sz w:val="18"/>
          <w:szCs w:val="18"/>
        </w:rPr>
      </w:pPr>
      <w:bookmarkStart w:id="11" w:name="_Toc988899"/>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3</w:t>
      </w:r>
      <w:r w:rsidRPr="0046769C">
        <w:rPr>
          <w:rFonts w:ascii="Times New Roman" w:eastAsia="宋体" w:hAnsi="Times New Roman" w:cs="宋体"/>
          <w:b/>
          <w:bCs/>
          <w:sz w:val="18"/>
          <w:szCs w:val="18"/>
        </w:rPr>
        <w:t>）</w:t>
      </w:r>
      <w:r w:rsidRPr="0046769C">
        <w:rPr>
          <w:rFonts w:ascii="Times New Roman" w:eastAsia="宋体" w:hAnsi="Times New Roman" w:cs="宋体"/>
          <w:b/>
          <w:bCs/>
          <w:sz w:val="18"/>
          <w:szCs w:val="18"/>
        </w:rPr>
        <w:t xml:space="preserve"> </w:t>
      </w:r>
      <w:r w:rsidRPr="0046769C">
        <w:rPr>
          <w:rFonts w:ascii="Times New Roman" w:eastAsia="宋体" w:hAnsi="Times New Roman" w:cs="宋体"/>
          <w:b/>
          <w:bCs/>
          <w:sz w:val="18"/>
          <w:szCs w:val="18"/>
        </w:rPr>
        <w:t>以方框图形式披露公司与实际控制人之间的产权及控制关系</w:t>
      </w:r>
      <w:bookmarkEnd w:id="11"/>
    </w:p>
    <w:p w14:paraId="697DB732" w14:textId="77777777" w:rsidR="00215F63" w:rsidRPr="0046769C" w:rsidRDefault="007A75D0" w:rsidP="000C4ACA">
      <w:pPr>
        <w:spacing w:before="40" w:after="40" w:line="0" w:lineRule="atLeast"/>
        <w:jc w:val="center"/>
        <w:rPr>
          <w:rFonts w:ascii="Times New Roman" w:eastAsia="宋体" w:hAnsi="Times New Roman" w:cs="Times New Roman"/>
        </w:rPr>
      </w:pPr>
      <w:r w:rsidRPr="0046769C">
        <w:rPr>
          <w:rFonts w:ascii="Times New Roman" w:eastAsia="宋体" w:hAnsi="Times New Roman" w:cs="Times New Roman"/>
          <w:noProof/>
        </w:rPr>
        <w:drawing>
          <wp:inline distT="0" distB="0" distL="0" distR="0" wp14:anchorId="27FE89D2" wp14:editId="6AFA1328">
            <wp:extent cx="2690812" cy="269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stretch>
                      <a:fillRect/>
                    </a:stretch>
                  </pic:blipFill>
                  <pic:spPr>
                    <a:xfrm>
                      <a:off x="0" y="0"/>
                      <a:ext cx="2690812" cy="2690812"/>
                    </a:xfrm>
                    <a:prstGeom prst="rect">
                      <a:avLst/>
                    </a:prstGeom>
                  </pic:spPr>
                </pic:pic>
              </a:graphicData>
            </a:graphic>
          </wp:inline>
        </w:drawing>
      </w:r>
    </w:p>
    <w:p w14:paraId="16E9FADE" w14:textId="77777777" w:rsidR="00215F63" w:rsidRPr="0046769C" w:rsidRDefault="007A75D0">
      <w:pPr>
        <w:pStyle w:val="3"/>
        <w:spacing w:line="280" w:lineRule="exact"/>
        <w:jc w:val="left"/>
        <w:rPr>
          <w:rFonts w:ascii="Times New Roman" w:hAnsi="Times New Roman" w:cs="宋体"/>
          <w:b/>
          <w:bCs/>
        </w:rPr>
      </w:pPr>
      <w:bookmarkStart w:id="12" w:name="_Toc988900"/>
      <w:r w:rsidRPr="0046769C">
        <w:rPr>
          <w:rFonts w:ascii="Times New Roman" w:hAnsi="Times New Roman" w:cs="宋体"/>
          <w:b/>
          <w:bCs/>
        </w:rPr>
        <w:t>5</w:t>
      </w:r>
      <w:r w:rsidRPr="0046769C">
        <w:rPr>
          <w:rFonts w:ascii="Times New Roman" w:hAnsi="Times New Roman" w:cs="宋体"/>
          <w:b/>
          <w:bCs/>
        </w:rPr>
        <w:t>、在年度报告批准报出日存续的债券情况</w:t>
      </w:r>
      <w:bookmarkEnd w:id="12"/>
    </w:p>
    <w:p w14:paraId="2949DA3C" w14:textId="77777777" w:rsidR="00215F63" w:rsidRPr="0046769C" w:rsidRDefault="007A75D0">
      <w:pPr>
        <w:spacing w:before="100" w:after="100" w:line="240" w:lineRule="exact"/>
        <w:rPr>
          <w:rFonts w:ascii="Times New Roman" w:eastAsia="宋体" w:hAnsi="Times New Roman" w:cs="宋体"/>
          <w:sz w:val="18"/>
          <w:szCs w:val="18"/>
        </w:rPr>
      </w:pPr>
      <w:r w:rsidRPr="0046769C">
        <w:rPr>
          <w:rFonts w:ascii="Times New Roman" w:eastAsia="宋体" w:hAnsi="Times New Roman" w:cs="宋体"/>
          <w:sz w:val="18"/>
          <w:szCs w:val="18"/>
        </w:rPr>
        <w:t>□</w:t>
      </w:r>
      <w:r w:rsidRPr="0046769C">
        <w:rPr>
          <w:rFonts w:ascii="Times New Roman" w:eastAsia="宋体" w:hAnsi="Times New Roman" w:cs="宋体"/>
          <w:sz w:val="18"/>
          <w:szCs w:val="18"/>
        </w:rPr>
        <w:t>适用</w:t>
      </w:r>
      <w:r w:rsidRPr="0046769C">
        <w:rPr>
          <w:rFonts w:ascii="Times New Roman" w:eastAsia="宋体" w:hAnsi="Times New Roman" w:cs="宋体"/>
          <w:sz w:val="18"/>
          <w:szCs w:val="18"/>
        </w:rPr>
        <w:t xml:space="preserve"> </w:t>
      </w:r>
      <w:r w:rsidRPr="0046769C">
        <w:rPr>
          <w:rFonts w:ascii="Times New Roman" w:eastAsia="宋体" w:hAnsi="Times New Roman" w:cs="宋体"/>
          <w:sz w:val="18"/>
          <w:szCs w:val="18"/>
        </w:rPr>
        <w:sym w:font="Wingdings 2" w:char="F052"/>
      </w:r>
      <w:r w:rsidRPr="0046769C">
        <w:rPr>
          <w:rFonts w:ascii="Times New Roman" w:eastAsia="宋体" w:hAnsi="Times New Roman" w:cs="宋体"/>
          <w:sz w:val="18"/>
          <w:szCs w:val="18"/>
        </w:rPr>
        <w:t>不适用</w:t>
      </w:r>
    </w:p>
    <w:p w14:paraId="1146037F" w14:textId="77777777" w:rsidR="00215F63" w:rsidRPr="0046769C" w:rsidRDefault="007A75D0">
      <w:pPr>
        <w:pStyle w:val="2"/>
        <w:spacing w:before="300" w:after="300" w:line="320" w:lineRule="exact"/>
        <w:rPr>
          <w:rFonts w:ascii="Times New Roman" w:eastAsia="宋体" w:hAnsi="Times New Roman" w:cs="宋体"/>
          <w:b/>
          <w:bCs/>
          <w:sz w:val="24"/>
          <w:szCs w:val="24"/>
        </w:rPr>
      </w:pPr>
      <w:bookmarkStart w:id="13" w:name="_Toc988901"/>
      <w:r w:rsidRPr="0046769C">
        <w:rPr>
          <w:rFonts w:ascii="Times New Roman" w:eastAsia="宋体" w:hAnsi="Times New Roman" w:cs="宋体"/>
          <w:b/>
          <w:bCs/>
          <w:sz w:val="24"/>
          <w:szCs w:val="24"/>
        </w:rPr>
        <w:t>三、重要事项</w:t>
      </w:r>
      <w:bookmarkEnd w:id="13"/>
    </w:p>
    <w:p w14:paraId="4600CE7E" w14:textId="77777777" w:rsidR="0048789F" w:rsidRPr="0046769C" w:rsidRDefault="007A75D0">
      <w:pPr>
        <w:pStyle w:val="a3"/>
        <w:divId w:val="471600662"/>
        <w:rPr>
          <w:rFonts w:ascii="Times New Roman" w:hAnsi="Times New Roman"/>
          <w:sz w:val="18"/>
          <w:szCs w:val="18"/>
        </w:rPr>
      </w:pPr>
      <w:r w:rsidRPr="0046769C">
        <w:rPr>
          <w:rFonts w:ascii="Times New Roman" w:hAnsi="Times New Roman" w:hint="eastAsia"/>
          <w:sz w:val="18"/>
          <w:szCs w:val="18"/>
        </w:rPr>
        <w:t>无</w:t>
      </w:r>
    </w:p>
    <w:sectPr w:rsidR="0048789F" w:rsidRPr="0046769C">
      <w:headerReference w:type="default" r:id="rId7"/>
      <w:footerReference w:type="default" r:id="rId8"/>
      <w:pgSz w:w="11905" w:h="16840"/>
      <w:pgMar w:top="850" w:right="1134" w:bottom="85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9E066" w14:textId="77777777" w:rsidR="006E75E8" w:rsidRDefault="006E75E8">
      <w:r>
        <w:separator/>
      </w:r>
    </w:p>
  </w:endnote>
  <w:endnote w:type="continuationSeparator" w:id="0">
    <w:p w14:paraId="25926B5A" w14:textId="77777777" w:rsidR="006E75E8" w:rsidRDefault="006E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5E0C" w14:textId="77777777" w:rsidR="00215F63" w:rsidRDefault="007A75D0">
    <w:pPr>
      <w:pStyle w:val="fotter1"/>
    </w:pPr>
    <w:r>
      <w:fldChar w:fldCharType="begin"/>
    </w:r>
    <w:r>
      <w:instrText>PAGE   \* MERGEFORMAT</w:instrText>
    </w:r>
    <w:r>
      <w:fldChar w:fldCharType="separate"/>
    </w:r>
    <w:r w:rsidR="00CD54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06119" w14:textId="77777777" w:rsidR="006E75E8" w:rsidRDefault="006E75E8">
      <w:r>
        <w:separator/>
      </w:r>
    </w:p>
  </w:footnote>
  <w:footnote w:type="continuationSeparator" w:id="0">
    <w:p w14:paraId="1901AA46" w14:textId="77777777" w:rsidR="006E75E8" w:rsidRDefault="006E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92D7" w14:textId="77777777" w:rsidR="00215F63" w:rsidRDefault="007A75D0">
    <w:pPr>
      <w:pStyle w:val="Header1"/>
      <w:pBdr>
        <w:bottom w:val="single" w:sz="6" w:space="1" w:color="auto"/>
      </w:pBdr>
    </w:pPr>
    <w:r>
      <w:t>渤海水业股份有限公司</w:t>
    </w:r>
    <w:r w:rsidRPr="00392ABB">
      <w:rPr>
        <w:rFonts w:ascii="Times New Roman" w:hAnsi="Times New Roman" w:cs="Times New Roman"/>
      </w:rPr>
      <w:t>2023</w:t>
    </w:r>
    <w:r>
      <w:t>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15F63"/>
    <w:rsid w:val="00034A3D"/>
    <w:rsid w:val="00047905"/>
    <w:rsid w:val="000823DB"/>
    <w:rsid w:val="000C154A"/>
    <w:rsid w:val="000C4ACA"/>
    <w:rsid w:val="000D3DC3"/>
    <w:rsid w:val="001771A7"/>
    <w:rsid w:val="00215F63"/>
    <w:rsid w:val="00217AA2"/>
    <w:rsid w:val="00222A33"/>
    <w:rsid w:val="00236EF9"/>
    <w:rsid w:val="00354BE8"/>
    <w:rsid w:val="00392ABB"/>
    <w:rsid w:val="004068E7"/>
    <w:rsid w:val="0046769C"/>
    <w:rsid w:val="0048789F"/>
    <w:rsid w:val="004C32A9"/>
    <w:rsid w:val="005410C7"/>
    <w:rsid w:val="0059718D"/>
    <w:rsid w:val="005C19F5"/>
    <w:rsid w:val="006467B6"/>
    <w:rsid w:val="006E75E8"/>
    <w:rsid w:val="00726007"/>
    <w:rsid w:val="007A75D0"/>
    <w:rsid w:val="00AB5E10"/>
    <w:rsid w:val="00AC15AF"/>
    <w:rsid w:val="00AD0BEE"/>
    <w:rsid w:val="00BD61FB"/>
    <w:rsid w:val="00C9734D"/>
    <w:rsid w:val="00CD54CA"/>
    <w:rsid w:val="00F459CF"/>
    <w:rsid w:val="00F757AA"/>
    <w:rsid w:val="00F9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71655"/>
  <w15:docId w15:val="{9436C3A7-89C8-47F8-AA08-5808C6D6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
    <w:unhideWhenUsed/>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center"/>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14:ligatures w14:val="none"/>
    </w:rPr>
  </w:style>
  <w:style w:type="paragraph" w:styleId="a4">
    <w:name w:val="header"/>
    <w:basedOn w:val="a"/>
    <w:link w:val="Char"/>
    <w:uiPriority w:val="99"/>
    <w:unhideWhenUsed/>
    <w:rsid w:val="00392ABB"/>
    <w:pPr>
      <w:tabs>
        <w:tab w:val="center" w:pos="4153"/>
        <w:tab w:val="right" w:pos="8306"/>
      </w:tabs>
      <w:snapToGrid w:val="0"/>
      <w:jc w:val="center"/>
    </w:pPr>
    <w:rPr>
      <w:sz w:val="18"/>
      <w:szCs w:val="18"/>
    </w:rPr>
  </w:style>
  <w:style w:type="character" w:customStyle="1" w:styleId="Char">
    <w:name w:val="页眉 Char"/>
    <w:basedOn w:val="a0"/>
    <w:link w:val="a4"/>
    <w:uiPriority w:val="99"/>
    <w:rsid w:val="00392ABB"/>
    <w:rPr>
      <w:sz w:val="18"/>
      <w:szCs w:val="18"/>
    </w:rPr>
  </w:style>
  <w:style w:type="paragraph" w:styleId="a5">
    <w:name w:val="footer"/>
    <w:basedOn w:val="a"/>
    <w:link w:val="Char0"/>
    <w:uiPriority w:val="99"/>
    <w:unhideWhenUsed/>
    <w:rsid w:val="00392ABB"/>
    <w:pPr>
      <w:tabs>
        <w:tab w:val="center" w:pos="4153"/>
        <w:tab w:val="right" w:pos="8306"/>
      </w:tabs>
      <w:snapToGrid w:val="0"/>
    </w:pPr>
    <w:rPr>
      <w:sz w:val="18"/>
      <w:szCs w:val="18"/>
    </w:rPr>
  </w:style>
  <w:style w:type="character" w:customStyle="1" w:styleId="Char0">
    <w:name w:val="页脚 Char"/>
    <w:basedOn w:val="a0"/>
    <w:link w:val="a5"/>
    <w:uiPriority w:val="99"/>
    <w:rsid w:val="00392A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1342">
      <w:bodyDiv w:val="1"/>
      <w:marLeft w:val="0"/>
      <w:marRight w:val="0"/>
      <w:marTop w:val="0"/>
      <w:marBottom w:val="0"/>
      <w:divBdr>
        <w:top w:val="none" w:sz="0" w:space="0" w:color="auto"/>
        <w:left w:val="none" w:sz="0" w:space="0" w:color="auto"/>
        <w:bottom w:val="none" w:sz="0" w:space="0" w:color="auto"/>
        <w:right w:val="none" w:sz="0" w:space="0" w:color="auto"/>
      </w:divBdr>
    </w:div>
    <w:div w:id="471600662">
      <w:bodyDiv w:val="1"/>
      <w:marLeft w:val="0"/>
      <w:marRight w:val="0"/>
      <w:marTop w:val="0"/>
      <w:marBottom w:val="0"/>
      <w:divBdr>
        <w:top w:val="none" w:sz="0" w:space="0" w:color="auto"/>
        <w:left w:val="none" w:sz="0" w:space="0" w:color="auto"/>
        <w:bottom w:val="none" w:sz="0" w:space="0" w:color="auto"/>
        <w:right w:val="none" w:sz="0" w:space="0" w:color="auto"/>
      </w:divBdr>
    </w:div>
    <w:div w:id="1275287307">
      <w:bodyDiv w:val="1"/>
      <w:marLeft w:val="0"/>
      <w:marRight w:val="0"/>
      <w:marTop w:val="0"/>
      <w:marBottom w:val="0"/>
      <w:divBdr>
        <w:top w:val="none" w:sz="0" w:space="0" w:color="auto"/>
        <w:left w:val="none" w:sz="0" w:space="0" w:color="auto"/>
        <w:bottom w:val="none" w:sz="0" w:space="0" w:color="auto"/>
        <w:right w:val="none" w:sz="0" w:space="0" w:color="auto"/>
      </w:divBdr>
    </w:div>
    <w:div w:id="201006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王梓</cp:lastModifiedBy>
  <cp:revision>21</cp:revision>
  <dcterms:created xsi:type="dcterms:W3CDTF">2024-04-26T10:20:00Z</dcterms:created>
  <dcterms:modified xsi:type="dcterms:W3CDTF">2024-04-28T14:15:00Z</dcterms:modified>
</cp:coreProperties>
</file>